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after="360" w:afterLines="0" w:afterAutospacing="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-260985</wp:posOffset>
                </wp:positionH>
                <wp:positionV relativeFrom="paragraph">
                  <wp:posOffset>-460375</wp:posOffset>
                </wp:positionV>
                <wp:extent cx="942975" cy="304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942975" cy="304800"/>
                        </a:xfrm>
                        <a:prstGeom prst="rect">
                          <a:avLst/>
                        </a:prstGeom>
                        <a:noFill/>
                        <a:ln w="6350">
                          <a:noFill/>
                        </a:ln>
                      </wps:spPr>
                      <wps:txbx>
                        <w:txbxContent>
                          <w:p>
                            <w:pPr>
                              <w:pStyle w:val="0"/>
                              <w:rPr>
                                <w:rFonts w:hint="default"/>
                              </w:rPr>
                            </w:pPr>
                            <w:r>
                              <w:rPr>
                                <w:rFonts w:hint="eastAsia"/>
                              </w:rPr>
                              <w:t>（</w:t>
                            </w:r>
                            <w:r>
                              <w:rPr>
                                <w:rFonts w:hint="default"/>
                              </w:rPr>
                              <w:t>別紙１）</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4pt;mso-wrap-distance-left:9pt;width:74.25pt;mso-wrap-distance-top:0pt;mso-position-horizontal-relative:text;position:absolute;margin-top:-36.25pt;margin-left:-20.55pt;mso-position-vertical-relative:text;mso-wrap-distance-bottom:0pt;mso-wrap-distance-right:9pt;v-text-anchor:top;" o:spid="_x0000_s1026" o:allowincell="t" o:allowoverlap="t" filled="f" stroked="f" strokeweight="0.5pt" o:spt="202" type="#_x0000_t202">
                <v:fill/>
                <v:textbox style="layout-flow:horizontal;">
                  <w:txbxContent>
                    <w:p>
                      <w:pPr>
                        <w:pStyle w:val="0"/>
                        <w:rPr>
                          <w:rFonts w:hint="default"/>
                        </w:rPr>
                      </w:pPr>
                      <w:r>
                        <w:rPr>
                          <w:rFonts w:hint="eastAsia"/>
                        </w:rPr>
                        <w:t>（</w:t>
                      </w:r>
                      <w:r>
                        <w:rPr>
                          <w:rFonts w:hint="default"/>
                        </w:rPr>
                        <w:t>別紙１）</w:t>
                      </w:r>
                    </w:p>
                  </w:txbxContent>
                </v:textbox>
                <v:imagedata o:title=""/>
                <w10:wrap type="none" anchorx="text" anchory="text"/>
              </v:shape>
            </w:pict>
          </mc:Fallback>
        </mc:AlternateContent>
      </w:r>
      <w:r>
        <w:rPr>
          <w:rFonts w:hint="eastAsia"/>
        </w:rPr>
        <w:t>マイナンバーカード予約等システム導入業務委託仕様書</w:t>
      </w:r>
      <w:bookmarkStart w:id="0" w:name="_GoBack"/>
      <w:bookmarkEnd w:id="0"/>
    </w:p>
    <w:p>
      <w:pPr>
        <w:pStyle w:val="1"/>
        <w:numPr>
          <w:numId w:val="0"/>
        </w:numPr>
        <w:ind w:leftChars="0" w:firstLineChars="0"/>
        <w:rPr>
          <w:rFonts w:hint="default"/>
        </w:rPr>
      </w:pPr>
      <w:r>
        <w:rPr>
          <w:rFonts w:hint="eastAsia"/>
        </w:rPr>
        <w:t>１　業務の名称</w:t>
      </w:r>
    </w:p>
    <w:p>
      <w:pPr>
        <w:pStyle w:val="0"/>
        <w:rPr>
          <w:rFonts w:hint="default"/>
        </w:rPr>
      </w:pPr>
      <w:r>
        <w:rPr>
          <w:rFonts w:hint="eastAsia"/>
        </w:rPr>
        <w:t>マイナンバーカード予約等システム導入業務</w:t>
      </w:r>
    </w:p>
    <w:p>
      <w:pPr>
        <w:pStyle w:val="0"/>
        <w:rPr>
          <w:rFonts w:hint="default"/>
        </w:rPr>
      </w:pPr>
    </w:p>
    <w:p>
      <w:pPr>
        <w:pStyle w:val="1"/>
        <w:numPr>
          <w:numId w:val="0"/>
        </w:numPr>
        <w:ind w:leftChars="0" w:firstLineChars="0"/>
        <w:rPr>
          <w:rFonts w:hint="default"/>
        </w:rPr>
      </w:pPr>
      <w:r>
        <w:rPr>
          <w:rFonts w:hint="eastAsia"/>
        </w:rPr>
        <w:t>２　目的</w:t>
      </w:r>
    </w:p>
    <w:p>
      <w:pPr>
        <w:pStyle w:val="0"/>
        <w:ind w:firstLine="210" w:firstLineChars="100"/>
        <w:rPr>
          <w:rFonts w:hint="default"/>
        </w:rPr>
      </w:pPr>
      <w:r>
        <w:rPr>
          <w:rFonts w:hint="eastAsia"/>
        </w:rPr>
        <w:t>本市のマイナンバーカード（以下「カード」という。）交付管理業務については、急増している電子証明書の更新申請及びカード自体の更新にかかる申請・交付への対応にあたり、窓口の混雑解消と業務効率化が喫緊の課題となっている。この度、「マイナンバーカード予約等システム（以下「本システム」という。）」を導入することで、インターネットを通じた便利でスムーズなカード交付予約体制を実現するとともに、業務の負担軽減及び効率化を図りながら適切な交付管理体制を確立し、住民サービスの向上を図ることを目的とする。</w:t>
      </w:r>
    </w:p>
    <w:p>
      <w:pPr>
        <w:pStyle w:val="0"/>
        <w:rPr>
          <w:rFonts w:hint="default"/>
        </w:rPr>
      </w:pPr>
    </w:p>
    <w:p>
      <w:pPr>
        <w:pStyle w:val="1"/>
        <w:numPr>
          <w:numId w:val="0"/>
        </w:numPr>
        <w:ind w:leftChars="0" w:firstLineChars="0"/>
        <w:rPr>
          <w:rFonts w:hint="default"/>
        </w:rPr>
      </w:pPr>
      <w:r>
        <w:rPr>
          <w:rFonts w:hint="eastAsia"/>
        </w:rPr>
        <w:t>３　導入方針</w:t>
      </w:r>
    </w:p>
    <w:p>
      <w:pPr>
        <w:pStyle w:val="18"/>
        <w:numPr>
          <w:ilvl w:val="0"/>
          <w:numId w:val="2"/>
        </w:numPr>
        <w:ind w:left="567" w:leftChars="0" w:hanging="454"/>
        <w:rPr>
          <w:rFonts w:hint="default"/>
        </w:rPr>
      </w:pPr>
      <w:r>
        <w:rPr>
          <w:rFonts w:hint="eastAsia"/>
        </w:rPr>
        <w:t>本システムにおいては、開庁時間に限られている予約受付時間を</w:t>
      </w:r>
      <w:r>
        <w:rPr>
          <w:rFonts w:hint="eastAsia"/>
        </w:rPr>
        <w:t>24</w:t>
      </w:r>
      <w:r>
        <w:rPr>
          <w:rFonts w:hint="eastAsia"/>
        </w:rPr>
        <w:t>時間インターネットから受付可能とすること等による住民の利便性の向上とともに、カード交付及び電子証明書の更新予約の対応を行う職員の負担軽減を図ることができるものとすること。</w:t>
      </w:r>
    </w:p>
    <w:p>
      <w:pPr>
        <w:pStyle w:val="18"/>
        <w:numPr>
          <w:ilvl w:val="0"/>
          <w:numId w:val="2"/>
        </w:numPr>
        <w:ind w:left="567" w:leftChars="0" w:hanging="454"/>
        <w:rPr>
          <w:rFonts w:hint="default"/>
        </w:rPr>
      </w:pPr>
      <w:r>
        <w:rPr>
          <w:rFonts w:hint="eastAsia"/>
        </w:rPr>
        <w:t>本システムにおいては、地方公共団体情報システム機構（</w:t>
      </w:r>
      <w:r>
        <w:rPr>
          <w:rFonts w:hint="eastAsia"/>
        </w:rPr>
        <w:t>J</w:t>
      </w:r>
      <w:r>
        <w:rPr>
          <w:rFonts w:hint="default"/>
        </w:rPr>
        <w:t>-LIS</w:t>
      </w:r>
      <w:r>
        <w:rPr>
          <w:rFonts w:hint="eastAsia"/>
        </w:rPr>
        <w:t>）から送付されるカード入荷から交付前設定、交付通知の送付、交付までの保管、交付後までの一連のカード交付管理業務について、職員の作業負担の軽減及び効率化を図ることができるものとすること。</w:t>
      </w:r>
    </w:p>
    <w:p>
      <w:pPr>
        <w:pStyle w:val="18"/>
        <w:numPr>
          <w:ilvl w:val="0"/>
          <w:numId w:val="2"/>
        </w:numPr>
        <w:ind w:left="567" w:leftChars="0" w:hanging="454"/>
        <w:rPr>
          <w:rFonts w:hint="default"/>
        </w:rPr>
      </w:pPr>
      <w:r>
        <w:rPr>
          <w:rFonts w:hint="eastAsia"/>
        </w:rPr>
        <w:t>本システムにおいては、本市の人口規模、カード交付件数等の運用実績等を考慮し、サービスの利用期間中の円滑な運用を可能とする最適なシステムを構築し、万全なセキュリティ対策を講じ、導入費用及び月額利用料等の運用管理経費を含めた総コストの低廉化を図ることができるものであること。</w:t>
      </w:r>
    </w:p>
    <w:p>
      <w:pPr>
        <w:pStyle w:val="0"/>
        <w:rPr>
          <w:rFonts w:hint="default"/>
        </w:rPr>
      </w:pPr>
    </w:p>
    <w:p>
      <w:pPr>
        <w:pStyle w:val="1"/>
        <w:numPr>
          <w:numId w:val="0"/>
        </w:numPr>
        <w:ind w:leftChars="0" w:firstLineChars="0"/>
        <w:rPr>
          <w:rFonts w:hint="default"/>
        </w:rPr>
      </w:pPr>
      <w:r>
        <w:rPr>
          <w:rFonts w:hint="eastAsia"/>
        </w:rPr>
        <w:t>４　本市の概要</w:t>
      </w:r>
    </w:p>
    <w:p>
      <w:pPr>
        <w:pStyle w:val="18"/>
        <w:numPr>
          <w:ilvl w:val="0"/>
          <w:numId w:val="3"/>
        </w:numPr>
        <w:ind w:leftChars="0"/>
        <w:rPr>
          <w:rFonts w:hint="default"/>
        </w:rPr>
      </w:pPr>
      <w:r>
        <w:rPr>
          <w:rFonts w:hint="eastAsia"/>
        </w:rPr>
        <w:t>人口及び世帯数（令和</w:t>
      </w:r>
      <w:r>
        <w:rPr>
          <w:rFonts w:hint="eastAsia"/>
        </w:rPr>
        <w:t>7</w:t>
      </w:r>
      <w:r>
        <w:rPr>
          <w:rFonts w:hint="eastAsia"/>
        </w:rPr>
        <w:t>年</w:t>
      </w:r>
      <w:r>
        <w:rPr>
          <w:rFonts w:hint="eastAsia"/>
        </w:rPr>
        <w:t>9</w:t>
      </w:r>
      <w:r>
        <w:rPr>
          <w:rFonts w:hint="eastAsia"/>
        </w:rPr>
        <w:t>月</w:t>
      </w:r>
      <w:r>
        <w:rPr>
          <w:rFonts w:hint="eastAsia"/>
        </w:rPr>
        <w:t>30</w:t>
      </w:r>
      <w:r>
        <w:rPr>
          <w:rFonts w:hint="eastAsia"/>
        </w:rPr>
        <w:t>日現在）</w:t>
      </w:r>
    </w:p>
    <w:p>
      <w:pPr>
        <w:pStyle w:val="0"/>
        <w:ind w:firstLine="567" w:firstLineChars="270"/>
        <w:rPr>
          <w:rFonts w:hint="default"/>
        </w:rPr>
      </w:pPr>
      <w:r>
        <w:rPr>
          <w:rFonts w:hint="eastAsia"/>
        </w:rPr>
        <w:t>男：</w:t>
      </w:r>
      <w:r>
        <w:rPr>
          <w:rFonts w:hint="default"/>
        </w:rPr>
        <w:t>1</w:t>
      </w:r>
      <w:r>
        <w:rPr>
          <w:rFonts w:hint="eastAsia"/>
        </w:rPr>
        <w:t>2</w:t>
      </w:r>
      <w:r>
        <w:rPr>
          <w:rFonts w:hint="default"/>
        </w:rPr>
        <w:t>,</w:t>
      </w:r>
      <w:r>
        <w:rPr>
          <w:rFonts w:hint="eastAsia"/>
        </w:rPr>
        <w:t>948</w:t>
      </w:r>
      <w:r>
        <w:rPr>
          <w:rFonts w:hint="default"/>
        </w:rPr>
        <w:t>人</w:t>
      </w:r>
      <w:r>
        <w:rPr>
          <w:rFonts w:hint="eastAsia"/>
        </w:rPr>
        <w:t>　女：</w:t>
      </w:r>
      <w:r>
        <w:rPr>
          <w:rFonts w:hint="default"/>
        </w:rPr>
        <w:t>1</w:t>
      </w:r>
      <w:r>
        <w:rPr>
          <w:rFonts w:hint="eastAsia"/>
        </w:rPr>
        <w:t>3</w:t>
      </w:r>
      <w:r>
        <w:rPr>
          <w:rFonts w:hint="default"/>
        </w:rPr>
        <w:t>,</w:t>
      </w:r>
      <w:r>
        <w:rPr>
          <w:rFonts w:hint="eastAsia"/>
        </w:rPr>
        <w:t>756</w:t>
      </w:r>
      <w:r>
        <w:rPr>
          <w:rFonts w:hint="default"/>
        </w:rPr>
        <w:t>人</w:t>
      </w:r>
      <w:r>
        <w:rPr>
          <w:rFonts w:hint="eastAsia"/>
        </w:rPr>
        <w:t>　合計：</w:t>
      </w:r>
      <w:r>
        <w:rPr>
          <w:rFonts w:hint="eastAsia"/>
        </w:rPr>
        <w:t>26</w:t>
      </w:r>
      <w:r>
        <w:rPr>
          <w:rFonts w:hint="default"/>
        </w:rPr>
        <w:t>,</w:t>
      </w:r>
      <w:r>
        <w:rPr>
          <w:rFonts w:hint="eastAsia"/>
        </w:rPr>
        <w:t>704</w:t>
      </w:r>
      <w:r>
        <w:rPr>
          <w:rFonts w:hint="default"/>
        </w:rPr>
        <w:t>人</w:t>
      </w:r>
    </w:p>
    <w:p>
      <w:pPr>
        <w:pStyle w:val="0"/>
        <w:ind w:firstLine="567" w:firstLineChars="270"/>
        <w:rPr>
          <w:rFonts w:hint="default"/>
        </w:rPr>
      </w:pPr>
      <w:r>
        <w:rPr>
          <w:rFonts w:hint="eastAsia"/>
        </w:rPr>
        <w:t>世帯数：</w:t>
      </w:r>
      <w:r>
        <w:rPr>
          <w:rFonts w:hint="default"/>
        </w:rPr>
        <w:t>1</w:t>
      </w:r>
      <w:r>
        <w:rPr>
          <w:rFonts w:hint="eastAsia"/>
        </w:rPr>
        <w:t>2</w:t>
      </w:r>
      <w:r>
        <w:rPr>
          <w:rFonts w:hint="default"/>
        </w:rPr>
        <w:t>,</w:t>
      </w:r>
      <w:r>
        <w:rPr>
          <w:rFonts w:hint="eastAsia"/>
        </w:rPr>
        <w:t>960</w:t>
      </w:r>
      <w:r>
        <w:rPr>
          <w:rFonts w:hint="default"/>
        </w:rPr>
        <w:t>世帯</w:t>
      </w:r>
    </w:p>
    <w:p>
      <w:pPr>
        <w:pStyle w:val="18"/>
        <w:numPr>
          <w:ilvl w:val="0"/>
          <w:numId w:val="3"/>
        </w:numPr>
        <w:ind w:leftChars="0"/>
        <w:rPr>
          <w:rFonts w:hint="default"/>
        </w:rPr>
      </w:pPr>
      <w:r>
        <w:rPr>
          <w:rFonts w:hint="eastAsia"/>
        </w:rPr>
        <w:t>マイナンバーカード交付枚数（令和</w:t>
      </w:r>
      <w:r>
        <w:rPr>
          <w:rFonts w:hint="eastAsia"/>
        </w:rPr>
        <w:t>7</w:t>
      </w:r>
      <w:r>
        <w:rPr>
          <w:rFonts w:hint="eastAsia"/>
        </w:rPr>
        <w:t>年</w:t>
      </w:r>
      <w:r>
        <w:rPr>
          <w:rFonts w:hint="eastAsia"/>
        </w:rPr>
        <w:t>9</w:t>
      </w:r>
      <w:r>
        <w:rPr>
          <w:rFonts w:hint="eastAsia"/>
        </w:rPr>
        <w:t>月</w:t>
      </w:r>
      <w:r>
        <w:rPr>
          <w:rFonts w:hint="eastAsia"/>
        </w:rPr>
        <w:t>3</w:t>
      </w:r>
      <w:r>
        <w:rPr>
          <w:rFonts w:hint="default"/>
        </w:rPr>
        <w:t>0</w:t>
      </w:r>
      <w:r>
        <w:rPr>
          <w:rFonts w:hint="eastAsia"/>
        </w:rPr>
        <w:t>日現在）</w:t>
      </w:r>
    </w:p>
    <w:p>
      <w:pPr>
        <w:pStyle w:val="0"/>
        <w:ind w:firstLine="567" w:firstLineChars="270"/>
        <w:rPr>
          <w:rFonts w:hint="default"/>
        </w:rPr>
      </w:pPr>
      <w:r>
        <w:rPr>
          <w:rFonts w:hint="eastAsia"/>
        </w:rPr>
        <w:t>26</w:t>
      </w:r>
      <w:r>
        <w:rPr>
          <w:rFonts w:hint="default"/>
        </w:rPr>
        <w:t>,</w:t>
      </w:r>
      <w:r>
        <w:rPr>
          <w:rFonts w:hint="eastAsia"/>
        </w:rPr>
        <w:t>652</w:t>
      </w:r>
      <w:r>
        <w:rPr>
          <w:rFonts w:hint="eastAsia"/>
        </w:rPr>
        <w:t>枚（交付率</w:t>
      </w:r>
      <w:r>
        <w:rPr>
          <w:rFonts w:hint="eastAsia"/>
        </w:rPr>
        <w:t xml:space="preserve"> 99</w:t>
      </w:r>
      <w:r>
        <w:rPr>
          <w:rFonts w:hint="default"/>
        </w:rPr>
        <w:t>.</w:t>
      </w:r>
      <w:r>
        <w:rPr>
          <w:rFonts w:hint="eastAsia"/>
        </w:rPr>
        <w:t>81</w:t>
      </w:r>
      <w:r>
        <w:rPr>
          <w:rFonts w:hint="eastAsia"/>
        </w:rPr>
        <w:t>％）</w:t>
      </w:r>
    </w:p>
    <w:p>
      <w:pPr>
        <w:pStyle w:val="0"/>
        <w:rPr>
          <w:rFonts w:hint="default"/>
        </w:rPr>
      </w:pPr>
    </w:p>
    <w:p>
      <w:pPr>
        <w:pStyle w:val="1"/>
        <w:numPr>
          <w:numId w:val="0"/>
        </w:numPr>
        <w:ind w:leftChars="0" w:firstLineChars="0"/>
        <w:rPr>
          <w:rFonts w:hint="default"/>
        </w:rPr>
      </w:pPr>
      <w:r>
        <w:rPr>
          <w:rFonts w:hint="eastAsia"/>
        </w:rPr>
        <w:t>５　　業務内容</w:t>
      </w:r>
    </w:p>
    <w:p>
      <w:pPr>
        <w:pStyle w:val="18"/>
        <w:numPr>
          <w:ilvl w:val="0"/>
          <w:numId w:val="4"/>
        </w:numPr>
        <w:ind w:leftChars="0"/>
        <w:rPr>
          <w:rFonts w:hint="default"/>
        </w:rPr>
      </w:pPr>
      <w:r>
        <w:rPr>
          <w:rFonts w:hint="eastAsia"/>
        </w:rPr>
        <w:t>業務内容</w:t>
      </w:r>
    </w:p>
    <w:p>
      <w:pPr>
        <w:pStyle w:val="0"/>
        <w:ind w:firstLine="567" w:firstLineChars="270"/>
        <w:rPr>
          <w:rFonts w:hint="default"/>
        </w:rPr>
      </w:pPr>
      <w:r>
        <w:rPr>
          <w:rFonts w:hint="eastAsia"/>
        </w:rPr>
        <w:t>本システムの構築及びシステム保守</w:t>
      </w:r>
    </w:p>
    <w:p>
      <w:pPr>
        <w:pStyle w:val="18"/>
        <w:numPr>
          <w:ilvl w:val="0"/>
          <w:numId w:val="4"/>
        </w:numPr>
        <w:ind w:leftChars="0"/>
        <w:rPr>
          <w:rFonts w:hint="default"/>
        </w:rPr>
      </w:pPr>
      <w:r>
        <w:rPr>
          <w:rFonts w:hint="eastAsia"/>
        </w:rPr>
        <w:t>業務スケジュール</w:t>
      </w:r>
    </w:p>
    <w:p>
      <w:pPr>
        <w:pStyle w:val="18"/>
        <w:numPr>
          <w:ilvl w:val="0"/>
          <w:numId w:val="5"/>
        </w:numPr>
        <w:ind w:leftChars="0"/>
        <w:rPr>
          <w:rFonts w:hint="default"/>
        </w:rPr>
      </w:pPr>
      <w:r>
        <w:rPr>
          <w:rFonts w:hint="eastAsia"/>
        </w:rPr>
        <w:t>構築期間：契約締結日から令和</w:t>
      </w:r>
      <w:r>
        <w:rPr>
          <w:rFonts w:hint="eastAsia"/>
        </w:rPr>
        <w:t>8</w:t>
      </w:r>
      <w:r>
        <w:rPr>
          <w:rFonts w:hint="eastAsia"/>
        </w:rPr>
        <w:t>年</w:t>
      </w:r>
      <w:r>
        <w:rPr>
          <w:rFonts w:hint="eastAsia"/>
        </w:rPr>
        <w:t>2</w:t>
      </w:r>
      <w:r>
        <w:rPr>
          <w:rFonts w:hint="eastAsia"/>
        </w:rPr>
        <w:t>月下旬まで</w:t>
      </w:r>
    </w:p>
    <w:p>
      <w:pPr>
        <w:pStyle w:val="18"/>
        <w:numPr>
          <w:ilvl w:val="0"/>
          <w:numId w:val="5"/>
        </w:numPr>
        <w:ind w:leftChars="0"/>
        <w:rPr>
          <w:rFonts w:hint="default"/>
        </w:rPr>
      </w:pPr>
      <w:r>
        <w:rPr>
          <w:rFonts w:hint="eastAsia"/>
        </w:rPr>
        <w:t>利用期間：令和</w:t>
      </w:r>
      <w:r>
        <w:rPr>
          <w:rFonts w:hint="eastAsia"/>
        </w:rPr>
        <w:t>8</w:t>
      </w:r>
      <w:r>
        <w:rPr>
          <w:rFonts w:hint="eastAsia"/>
        </w:rPr>
        <w:t>年３月上旬から</w:t>
      </w:r>
      <w:r>
        <w:rPr>
          <w:rFonts w:hint="eastAsia"/>
        </w:rPr>
        <w:t>5</w:t>
      </w:r>
      <w:r>
        <w:rPr>
          <w:rFonts w:hint="eastAsia"/>
        </w:rPr>
        <w:t>年間（</w:t>
      </w:r>
      <w:r>
        <w:rPr>
          <w:rFonts w:hint="eastAsia"/>
        </w:rPr>
        <w:t>60</w:t>
      </w:r>
      <w:r>
        <w:rPr>
          <w:rFonts w:hint="eastAsia"/>
        </w:rPr>
        <w:t>か月）</w:t>
      </w:r>
    </w:p>
    <w:p>
      <w:pPr>
        <w:pStyle w:val="0"/>
        <w:ind w:left="424" w:leftChars="202" w:firstLine="141" w:firstLineChars="67"/>
        <w:rPr>
          <w:rFonts w:hint="default"/>
        </w:rPr>
      </w:pPr>
      <w:r>
        <w:rPr>
          <w:rFonts w:hint="eastAsia"/>
        </w:rPr>
        <w:t>なお、構築期間には、システムの習熟、試行運転、研修等の準備期間を含むものとする。</w:t>
      </w:r>
    </w:p>
    <w:p>
      <w:pPr>
        <w:pStyle w:val="1"/>
        <w:numPr>
          <w:numId w:val="0"/>
        </w:numPr>
        <w:ind w:leftChars="0" w:firstLineChars="0"/>
        <w:rPr>
          <w:rFonts w:hint="default"/>
        </w:rPr>
      </w:pPr>
    </w:p>
    <w:p>
      <w:pPr>
        <w:pStyle w:val="1"/>
        <w:numPr>
          <w:numId w:val="0"/>
        </w:numPr>
        <w:ind w:leftChars="0" w:firstLineChars="0"/>
        <w:rPr>
          <w:rFonts w:hint="default"/>
        </w:rPr>
      </w:pPr>
      <w:r>
        <w:rPr>
          <w:rFonts w:hint="eastAsia"/>
        </w:rPr>
        <w:t>６　本システムの要件</w:t>
      </w:r>
    </w:p>
    <w:p>
      <w:pPr>
        <w:pStyle w:val="18"/>
        <w:numPr>
          <w:ilvl w:val="0"/>
          <w:numId w:val="6"/>
        </w:numPr>
        <w:ind w:leftChars="0"/>
        <w:rPr>
          <w:rFonts w:hint="default"/>
        </w:rPr>
      </w:pPr>
      <w:r>
        <w:rPr>
          <w:rFonts w:hint="eastAsia"/>
        </w:rPr>
        <w:t>基本事項</w:t>
      </w:r>
    </w:p>
    <w:p>
      <w:pPr>
        <w:pStyle w:val="18"/>
        <w:numPr>
          <w:ilvl w:val="0"/>
          <w:numId w:val="7"/>
        </w:numPr>
        <w:ind w:left="993" w:leftChars="0" w:hanging="483"/>
        <w:rPr>
          <w:rFonts w:hint="default"/>
        </w:rPr>
      </w:pPr>
      <w:r>
        <w:rPr>
          <w:rFonts w:hint="eastAsia"/>
        </w:rPr>
        <w:t>OS</w:t>
      </w:r>
      <w:r>
        <w:rPr>
          <w:rFonts w:hint="eastAsia"/>
        </w:rPr>
        <w:t>・ブラウザのバージョンアップやサポートの終了又はカードの制度改正等により必要となるシステムのバージョンアップは、受注者の負担において行うこと。</w:t>
      </w:r>
    </w:p>
    <w:p>
      <w:pPr>
        <w:pStyle w:val="18"/>
        <w:numPr>
          <w:ilvl w:val="0"/>
          <w:numId w:val="7"/>
        </w:numPr>
        <w:ind w:left="993" w:leftChars="0" w:hanging="483"/>
        <w:rPr>
          <w:rFonts w:hint="default"/>
        </w:rPr>
      </w:pPr>
      <w:r>
        <w:rPr>
          <w:rFonts w:hint="eastAsia"/>
        </w:rPr>
        <w:t>カード業務担当者（システム使用者）が行う各種操作は、プログラミング等の専門知識を必要とせず実施できること。</w:t>
      </w:r>
    </w:p>
    <w:p>
      <w:pPr>
        <w:pStyle w:val="18"/>
        <w:numPr>
          <w:ilvl w:val="0"/>
          <w:numId w:val="8"/>
        </w:numPr>
        <w:ind w:leftChars="0"/>
        <w:rPr>
          <w:rFonts w:hint="default"/>
          <w:vanish w:val="1"/>
        </w:rPr>
      </w:pPr>
    </w:p>
    <w:p>
      <w:pPr>
        <w:pStyle w:val="18"/>
        <w:numPr>
          <w:ilvl w:val="0"/>
          <w:numId w:val="8"/>
        </w:numPr>
        <w:ind w:leftChars="0"/>
        <w:rPr>
          <w:rFonts w:hint="default"/>
        </w:rPr>
      </w:pPr>
      <w:r>
        <w:rPr>
          <w:rFonts w:hint="eastAsia"/>
        </w:rPr>
        <w:t>環境要件</w:t>
      </w:r>
    </w:p>
    <w:p>
      <w:pPr>
        <w:pStyle w:val="18"/>
        <w:numPr>
          <w:ilvl w:val="0"/>
          <w:numId w:val="9"/>
        </w:numPr>
        <w:ind w:leftChars="0"/>
        <w:rPr>
          <w:rFonts w:hint="default"/>
        </w:rPr>
      </w:pPr>
      <w:r>
        <w:rPr>
          <w:rFonts w:hint="eastAsia"/>
        </w:rPr>
        <w:t>本システムについて、</w:t>
      </w:r>
      <w:r>
        <w:rPr>
          <w:rFonts w:hint="default"/>
        </w:rPr>
        <w:t>LGWAN</w:t>
      </w:r>
      <w:r>
        <w:rPr>
          <w:rFonts w:hint="default"/>
        </w:rPr>
        <w:t>系又はインターネット系のネットワークに接続する端末により運用するものとする。</w:t>
      </w:r>
    </w:p>
    <w:p>
      <w:pPr>
        <w:pStyle w:val="18"/>
        <w:numPr>
          <w:ilvl w:val="0"/>
          <w:numId w:val="9"/>
        </w:numPr>
        <w:ind w:left="993" w:leftChars="0" w:hanging="483"/>
        <w:rPr>
          <w:rFonts w:hint="default"/>
        </w:rPr>
      </w:pPr>
      <w:r>
        <w:rPr>
          <w:rFonts w:hint="eastAsia"/>
        </w:rPr>
        <w:t>本システムは、</w:t>
      </w:r>
      <w:r>
        <w:rPr>
          <w:rFonts w:hint="eastAsia"/>
        </w:rPr>
        <w:t>ASP</w:t>
      </w:r>
      <w:r>
        <w:rPr>
          <w:rFonts w:hint="eastAsia"/>
        </w:rPr>
        <w:t>サービスにより運用するものとする。</w:t>
      </w:r>
    </w:p>
    <w:p>
      <w:pPr>
        <w:pStyle w:val="18"/>
        <w:numPr>
          <w:ilvl w:val="0"/>
          <w:numId w:val="9"/>
        </w:numPr>
        <w:ind w:leftChars="0"/>
        <w:rPr>
          <w:rFonts w:hint="default"/>
        </w:rPr>
      </w:pPr>
      <w:r>
        <w:rPr>
          <w:rFonts w:hint="default"/>
        </w:rPr>
        <w:t>ASP</w:t>
      </w:r>
      <w:r>
        <w:rPr>
          <w:rFonts w:hint="default"/>
        </w:rPr>
        <w:t>サービスでの提案の場合、本</w:t>
      </w:r>
      <w:r>
        <w:rPr>
          <w:rFonts w:hint="eastAsia"/>
        </w:rPr>
        <w:t>システム</w:t>
      </w:r>
      <w:r>
        <w:rPr>
          <w:rFonts w:hint="default"/>
        </w:rPr>
        <w:t>に用いるデータセンターは、次の要件を満たすこととする。</w:t>
      </w:r>
    </w:p>
    <w:p>
      <w:pPr>
        <w:pStyle w:val="18"/>
        <w:numPr>
          <w:ilvl w:val="1"/>
          <w:numId w:val="10"/>
        </w:numPr>
        <w:ind w:leftChars="0"/>
        <w:rPr>
          <w:rFonts w:hint="default"/>
        </w:rPr>
      </w:pPr>
      <w:r>
        <w:rPr>
          <w:rFonts w:hint="default"/>
        </w:rPr>
        <w:t>日本国内に立地していること。</w:t>
      </w:r>
    </w:p>
    <w:p>
      <w:pPr>
        <w:pStyle w:val="18"/>
        <w:numPr>
          <w:ilvl w:val="1"/>
          <w:numId w:val="10"/>
        </w:numPr>
        <w:ind w:leftChars="0"/>
        <w:rPr>
          <w:rFonts w:hint="default"/>
        </w:rPr>
      </w:pPr>
      <w:r>
        <w:rPr>
          <w:rFonts w:hint="default"/>
        </w:rPr>
        <w:t>耐震又は免震構造であり、東日本大震災級の地震に耐えうること。</w:t>
      </w:r>
    </w:p>
    <w:p>
      <w:pPr>
        <w:pStyle w:val="18"/>
        <w:numPr>
          <w:ilvl w:val="1"/>
          <w:numId w:val="10"/>
        </w:numPr>
        <w:ind w:leftChars="0"/>
        <w:rPr>
          <w:rFonts w:hint="default"/>
        </w:rPr>
      </w:pPr>
      <w:r>
        <w:rPr>
          <w:rFonts w:hint="default"/>
        </w:rPr>
        <w:t>代替機等を常備するなど、重大障害時（サーバ機能停止等）にもシステム停止がないよう冗長性を確保すること。</w:t>
      </w:r>
    </w:p>
    <w:p>
      <w:pPr>
        <w:pStyle w:val="18"/>
        <w:numPr>
          <w:ilvl w:val="1"/>
          <w:numId w:val="10"/>
        </w:numPr>
        <w:ind w:leftChars="0"/>
        <w:rPr>
          <w:rFonts w:hint="default"/>
        </w:rPr>
      </w:pPr>
      <w:r>
        <w:rPr>
          <w:rFonts w:hint="default"/>
        </w:rPr>
        <w:t>停電時等による電力供給の停止に備え、機器が適切に停止するまでの間に十分な電力を供給する容量の予備電源を備えること。</w:t>
      </w:r>
    </w:p>
    <w:p>
      <w:pPr>
        <w:pStyle w:val="18"/>
        <w:numPr>
          <w:ilvl w:val="0"/>
          <w:numId w:val="9"/>
        </w:numPr>
        <w:ind w:leftChars="0"/>
        <w:rPr>
          <w:rFonts w:hint="default"/>
        </w:rPr>
      </w:pPr>
      <w:r>
        <w:rPr>
          <w:rFonts w:hint="eastAsia"/>
        </w:rPr>
        <w:t>その他本システムの円滑な稼働に必要な機器は、受注者が調達することとし、システム導入費の見積りに含めること。ただし、</w:t>
      </w:r>
      <w:r>
        <w:rPr>
          <w:rFonts w:hint="eastAsia"/>
        </w:rPr>
        <w:t>LGWAN</w:t>
      </w:r>
      <w:r>
        <w:rPr>
          <w:rFonts w:hint="eastAsia"/>
        </w:rPr>
        <w:t>系又はインターネット系に接続する端末は、本市が用意するものとする。</w:t>
      </w:r>
    </w:p>
    <w:p>
      <w:pPr>
        <w:pStyle w:val="18"/>
        <w:numPr>
          <w:ilvl w:val="0"/>
          <w:numId w:val="9"/>
        </w:numPr>
        <w:ind w:leftChars="0"/>
        <w:rPr>
          <w:rFonts w:hint="default"/>
        </w:rPr>
      </w:pPr>
      <w:r>
        <w:rPr>
          <w:rFonts w:hint="default"/>
        </w:rPr>
        <w:t>本システムの稼動で想定するネットワーク環境を明示し、構築に当たっては本市</w:t>
      </w:r>
      <w:r>
        <w:rPr>
          <w:rFonts w:hint="eastAsia"/>
        </w:rPr>
        <w:t>システム</w:t>
      </w:r>
      <w:r>
        <w:rPr>
          <w:rFonts w:hint="default"/>
        </w:rPr>
        <w:t>管理者及びネットワーク保守事業者と十分協議すること。</w:t>
      </w:r>
    </w:p>
    <w:p>
      <w:pPr>
        <w:pStyle w:val="18"/>
        <w:numPr>
          <w:ilvl w:val="0"/>
          <w:numId w:val="9"/>
        </w:numPr>
        <w:ind w:leftChars="0"/>
        <w:rPr>
          <w:rFonts w:hint="default"/>
        </w:rPr>
      </w:pPr>
      <w:r>
        <w:rPr>
          <w:rFonts w:hint="eastAsia"/>
        </w:rPr>
        <w:t>本市</w:t>
      </w:r>
      <w:r>
        <w:rPr>
          <w:rFonts w:hint="default"/>
        </w:rPr>
        <w:t>の動作環境は以下のとおり。また、契約期間内に新</w:t>
      </w:r>
      <w:r>
        <w:rPr>
          <w:rFonts w:hint="eastAsia"/>
        </w:rPr>
        <w:t>O</w:t>
      </w:r>
      <w:r>
        <w:rPr>
          <w:rFonts w:hint="default"/>
        </w:rPr>
        <w:t>S</w:t>
      </w:r>
      <w:r>
        <w:rPr>
          <w:rFonts w:hint="default"/>
        </w:rPr>
        <w:t>やブラウザがリリースされた際には、発注者と協議し対応すること。</w:t>
      </w:r>
    </w:p>
    <w:p>
      <w:pPr>
        <w:pStyle w:val="0"/>
        <w:ind w:left="964"/>
        <w:rPr>
          <w:rFonts w:hint="default"/>
        </w:rPr>
      </w:pPr>
      <w:r>
        <w:rPr>
          <w:rFonts w:hint="eastAsia"/>
        </w:rPr>
        <w:t>・</w:t>
      </w:r>
      <w:r>
        <w:rPr>
          <w:rFonts w:hint="eastAsia"/>
        </w:rPr>
        <w:t xml:space="preserve"> OS</w:t>
      </w:r>
      <w:r>
        <w:rPr>
          <w:rFonts w:hint="eastAsia"/>
        </w:rPr>
        <w:t>：</w:t>
      </w:r>
      <w:r>
        <w:rPr>
          <w:rFonts w:hint="eastAsia"/>
        </w:rPr>
        <w:t>Windows</w:t>
      </w:r>
      <w:r>
        <w:rPr>
          <w:rFonts w:hint="default"/>
        </w:rPr>
        <w:t>11</w:t>
      </w:r>
    </w:p>
    <w:p>
      <w:pPr>
        <w:pStyle w:val="18"/>
        <w:ind w:left="964" w:leftChars="0"/>
        <w:rPr>
          <w:rFonts w:hint="default"/>
        </w:rPr>
      </w:pPr>
      <w:r>
        <w:rPr>
          <w:rFonts w:hint="eastAsia"/>
        </w:rPr>
        <w:t>・</w:t>
      </w:r>
      <w:r>
        <w:rPr>
          <w:rFonts w:hint="eastAsia"/>
        </w:rPr>
        <w:t xml:space="preserve"> </w:t>
      </w:r>
      <w:r>
        <w:rPr>
          <w:rFonts w:hint="eastAsia"/>
        </w:rPr>
        <w:t>ブラウザ：</w:t>
      </w:r>
      <w:r>
        <w:rPr>
          <w:rFonts w:hint="eastAsia"/>
        </w:rPr>
        <w:t>M</w:t>
      </w:r>
      <w:r>
        <w:rPr>
          <w:rFonts w:hint="default"/>
        </w:rPr>
        <w:t>icrosoft Edge</w:t>
      </w:r>
      <w:r>
        <w:rPr>
          <w:rFonts w:hint="eastAsia"/>
        </w:rPr>
        <w:t>、</w:t>
      </w:r>
      <w:r>
        <w:rPr>
          <w:rFonts w:hint="eastAsia"/>
        </w:rPr>
        <w:t>G</w:t>
      </w:r>
      <w:r>
        <w:rPr>
          <w:rFonts w:hint="default"/>
        </w:rPr>
        <w:t>oogle chrome</w:t>
      </w:r>
    </w:p>
    <w:p>
      <w:pPr>
        <w:pStyle w:val="18"/>
        <w:ind w:left="993" w:leftChars="0"/>
        <w:rPr>
          <w:rFonts w:hint="default"/>
        </w:rPr>
      </w:pPr>
      <w:r>
        <w:rPr>
          <w:rFonts w:hint="default"/>
        </w:rPr>
        <w:t>LGWAN</w:t>
      </w:r>
      <w:r>
        <w:rPr>
          <w:rFonts w:hint="default"/>
        </w:rPr>
        <w:t>経由でのシステム利用が必要な場合は、</w:t>
      </w:r>
      <w:r>
        <w:rPr>
          <w:rFonts w:hint="default"/>
        </w:rPr>
        <w:t>LOCKSTAR</w:t>
      </w:r>
      <w:r>
        <w:rPr>
          <w:rFonts w:hint="default"/>
        </w:rPr>
        <w:t>社製</w:t>
      </w:r>
      <w:r>
        <w:rPr>
          <w:rFonts w:hint="default"/>
        </w:rPr>
        <w:t>SGate</w:t>
      </w:r>
      <w:r>
        <w:rPr>
          <w:rFonts w:hint="default"/>
        </w:rPr>
        <w:t>を使用したインターネットセグメント</w:t>
      </w:r>
      <w:r>
        <w:rPr>
          <w:rFonts w:hint="default"/>
        </w:rPr>
        <w:t>→LGWAN</w:t>
      </w:r>
      <w:r>
        <w:rPr>
          <w:rFonts w:hint="default"/>
        </w:rPr>
        <w:t>接続セグメントへのセキュアな通信ができることとする。</w:t>
      </w:r>
    </w:p>
    <w:p>
      <w:pPr>
        <w:pStyle w:val="18"/>
        <w:numPr>
          <w:ilvl w:val="0"/>
          <w:numId w:val="11"/>
        </w:numPr>
        <w:ind w:leftChars="0"/>
        <w:rPr>
          <w:rFonts w:hint="default"/>
          <w:vanish w:val="1"/>
        </w:rPr>
      </w:pPr>
    </w:p>
    <w:p>
      <w:pPr>
        <w:pStyle w:val="18"/>
        <w:numPr>
          <w:ilvl w:val="0"/>
          <w:numId w:val="11"/>
        </w:numPr>
        <w:ind w:leftChars="0"/>
        <w:rPr>
          <w:rFonts w:hint="default"/>
          <w:vanish w:val="1"/>
        </w:rPr>
      </w:pPr>
    </w:p>
    <w:p>
      <w:pPr>
        <w:pStyle w:val="18"/>
        <w:numPr>
          <w:ilvl w:val="0"/>
          <w:numId w:val="11"/>
        </w:numPr>
        <w:ind w:leftChars="0"/>
        <w:rPr>
          <w:rFonts w:hint="default"/>
        </w:rPr>
      </w:pPr>
      <w:r>
        <w:rPr>
          <w:rFonts w:hint="eastAsia"/>
        </w:rPr>
        <w:t>機能要件</w:t>
      </w:r>
    </w:p>
    <w:p>
      <w:pPr>
        <w:pStyle w:val="0"/>
        <w:ind w:left="420" w:leftChars="200" w:firstLine="147" w:firstLineChars="70"/>
        <w:rPr>
          <w:rFonts w:hint="default"/>
        </w:rPr>
      </w:pPr>
      <w:r>
        <w:rPr>
          <w:rFonts w:hint="eastAsia"/>
        </w:rPr>
        <w:t>本業務において提供されるシステムの性能・機能は、別紙「機能要件一覧」（様式７）のとおり。</w:t>
      </w:r>
    </w:p>
    <w:p>
      <w:pPr>
        <w:pStyle w:val="18"/>
        <w:numPr>
          <w:ilvl w:val="0"/>
          <w:numId w:val="11"/>
        </w:numPr>
        <w:ind w:leftChars="0"/>
        <w:rPr>
          <w:rFonts w:hint="default"/>
        </w:rPr>
      </w:pPr>
      <w:r>
        <w:rPr>
          <w:rFonts w:hint="eastAsia"/>
        </w:rPr>
        <w:t>非機能要件</w:t>
      </w:r>
    </w:p>
    <w:p>
      <w:pPr>
        <w:pStyle w:val="0"/>
        <w:ind w:left="424" w:leftChars="202" w:firstLine="141" w:firstLineChars="67"/>
        <w:rPr>
          <w:rFonts w:hint="default"/>
        </w:rPr>
      </w:pPr>
      <w:r>
        <w:rPr>
          <w:rFonts w:hint="eastAsia"/>
        </w:rPr>
        <w:t>本業務において提供されるシステムの非機能要件については、別紙「非機能要件一覧」（様式８）のとおり。</w:t>
      </w:r>
    </w:p>
    <w:p>
      <w:pPr>
        <w:pStyle w:val="18"/>
        <w:numPr>
          <w:ilvl w:val="0"/>
          <w:numId w:val="11"/>
        </w:numPr>
        <w:ind w:leftChars="0"/>
        <w:rPr>
          <w:rFonts w:hint="default"/>
        </w:rPr>
      </w:pPr>
      <w:r>
        <w:rPr>
          <w:rFonts w:hint="eastAsia"/>
        </w:rPr>
        <w:t>システム設定</w:t>
      </w:r>
    </w:p>
    <w:p>
      <w:pPr>
        <w:pStyle w:val="0"/>
        <w:ind w:firstLine="567" w:firstLineChars="270"/>
        <w:rPr>
          <w:rFonts w:hint="default"/>
        </w:rPr>
      </w:pPr>
      <w:r>
        <w:rPr>
          <w:rFonts w:hint="eastAsia"/>
        </w:rPr>
        <w:t>受注者は、本システムの導入にあたり本稼働前に次の作業を実施するものとする。</w:t>
      </w:r>
    </w:p>
    <w:tbl>
      <w:tblPr>
        <w:tblStyle w:val="27"/>
        <w:tblW w:w="8073" w:type="dxa"/>
        <w:tblInd w:w="421" w:type="dxa"/>
        <w:tblLayout w:type="fixed"/>
        <w:tblLook w:firstRow="1" w:lastRow="0" w:firstColumn="1" w:lastColumn="0" w:noHBand="0" w:noVBand="1" w:val="04A0"/>
      </w:tblPr>
      <w:tblGrid>
        <w:gridCol w:w="426"/>
        <w:gridCol w:w="2692"/>
        <w:gridCol w:w="4955"/>
      </w:tblGrid>
      <w:tr>
        <w:trPr/>
        <w:tc>
          <w:tcPr>
            <w:tcW w:w="426" w:type="dxa"/>
            <w:vAlign w:val="top"/>
          </w:tcPr>
          <w:p>
            <w:pPr>
              <w:pStyle w:val="0"/>
              <w:rPr>
                <w:rFonts w:hint="default"/>
              </w:rPr>
            </w:pPr>
          </w:p>
        </w:tc>
        <w:tc>
          <w:tcPr>
            <w:tcW w:w="2692" w:type="dxa"/>
            <w:vAlign w:val="top"/>
          </w:tcPr>
          <w:p>
            <w:pPr>
              <w:pStyle w:val="0"/>
              <w:jc w:val="center"/>
              <w:rPr>
                <w:rFonts w:hint="default"/>
              </w:rPr>
            </w:pPr>
            <w:r>
              <w:rPr>
                <w:rFonts w:hint="eastAsia"/>
              </w:rPr>
              <w:t>作業項目</w:t>
            </w:r>
          </w:p>
        </w:tc>
        <w:tc>
          <w:tcPr>
            <w:tcW w:w="4955" w:type="dxa"/>
            <w:vAlign w:val="top"/>
          </w:tcPr>
          <w:p>
            <w:pPr>
              <w:pStyle w:val="0"/>
              <w:jc w:val="center"/>
              <w:rPr>
                <w:rFonts w:hint="default"/>
              </w:rPr>
            </w:pPr>
            <w:r>
              <w:rPr>
                <w:rFonts w:hint="eastAsia"/>
              </w:rPr>
              <w:t>仕様</w:t>
            </w:r>
          </w:p>
        </w:tc>
      </w:tr>
      <w:tr>
        <w:trPr/>
        <w:tc>
          <w:tcPr>
            <w:tcW w:w="426" w:type="dxa"/>
            <w:vAlign w:val="top"/>
          </w:tcPr>
          <w:p>
            <w:pPr>
              <w:pStyle w:val="0"/>
              <w:rPr>
                <w:rFonts w:hint="default"/>
              </w:rPr>
            </w:pPr>
            <w:r>
              <w:rPr>
                <w:rFonts w:hint="eastAsia"/>
              </w:rPr>
              <w:t>１</w:t>
            </w:r>
          </w:p>
        </w:tc>
        <w:tc>
          <w:tcPr>
            <w:tcW w:w="2692" w:type="dxa"/>
            <w:vAlign w:val="top"/>
          </w:tcPr>
          <w:p>
            <w:pPr>
              <w:pStyle w:val="0"/>
              <w:rPr>
                <w:rFonts w:hint="default"/>
              </w:rPr>
            </w:pPr>
            <w:r>
              <w:rPr>
                <w:rFonts w:hint="eastAsia"/>
              </w:rPr>
              <w:t>システム設定打合せ</w:t>
            </w:r>
          </w:p>
        </w:tc>
        <w:tc>
          <w:tcPr>
            <w:tcW w:w="4955" w:type="dxa"/>
            <w:vAlign w:val="top"/>
          </w:tcPr>
          <w:p>
            <w:pPr>
              <w:pStyle w:val="0"/>
              <w:rPr>
                <w:rFonts w:hint="default"/>
              </w:rPr>
            </w:pPr>
            <w:r>
              <w:rPr>
                <w:rFonts w:hint="eastAsia"/>
              </w:rPr>
              <w:t>システム設定の基準を発注者に説明し、設定内容を決定する。</w:t>
            </w:r>
          </w:p>
        </w:tc>
      </w:tr>
      <w:tr>
        <w:trPr/>
        <w:tc>
          <w:tcPr>
            <w:tcW w:w="426" w:type="dxa"/>
            <w:vAlign w:val="top"/>
          </w:tcPr>
          <w:p>
            <w:pPr>
              <w:pStyle w:val="0"/>
              <w:rPr>
                <w:rFonts w:hint="default"/>
              </w:rPr>
            </w:pPr>
            <w:r>
              <w:rPr>
                <w:rFonts w:hint="eastAsia"/>
              </w:rPr>
              <w:t>２</w:t>
            </w:r>
          </w:p>
        </w:tc>
        <w:tc>
          <w:tcPr>
            <w:tcW w:w="2692" w:type="dxa"/>
            <w:vAlign w:val="top"/>
          </w:tcPr>
          <w:p>
            <w:pPr>
              <w:pStyle w:val="0"/>
              <w:rPr>
                <w:rFonts w:hint="default"/>
              </w:rPr>
            </w:pPr>
            <w:r>
              <w:rPr>
                <w:rFonts w:hint="eastAsia"/>
              </w:rPr>
              <w:t>マスターデータ登録</w:t>
            </w:r>
          </w:p>
        </w:tc>
        <w:tc>
          <w:tcPr>
            <w:tcW w:w="4955" w:type="dxa"/>
            <w:vAlign w:val="top"/>
          </w:tcPr>
          <w:p>
            <w:pPr>
              <w:pStyle w:val="0"/>
              <w:rPr>
                <w:rFonts w:hint="default"/>
              </w:rPr>
            </w:pPr>
            <w:r>
              <w:rPr>
                <w:rFonts w:hint="eastAsia"/>
              </w:rPr>
              <w:t>システムを使用する上で必要な情報（管理者権限や日時等）をシステムに登録する。</w:t>
            </w:r>
          </w:p>
        </w:tc>
      </w:tr>
      <w:tr>
        <w:trPr/>
        <w:tc>
          <w:tcPr>
            <w:tcW w:w="426" w:type="dxa"/>
            <w:vAlign w:val="top"/>
          </w:tcPr>
          <w:p>
            <w:pPr>
              <w:pStyle w:val="0"/>
              <w:rPr>
                <w:rFonts w:hint="default"/>
              </w:rPr>
            </w:pPr>
            <w:r>
              <w:rPr>
                <w:rFonts w:hint="eastAsia"/>
              </w:rPr>
              <w:t>３</w:t>
            </w:r>
          </w:p>
        </w:tc>
        <w:tc>
          <w:tcPr>
            <w:tcW w:w="2692" w:type="dxa"/>
            <w:vAlign w:val="top"/>
          </w:tcPr>
          <w:p>
            <w:pPr>
              <w:pStyle w:val="0"/>
              <w:rPr>
                <w:rFonts w:hint="default"/>
              </w:rPr>
            </w:pPr>
            <w:r>
              <w:rPr>
                <w:rFonts w:hint="eastAsia"/>
              </w:rPr>
              <w:t>動作確認・運用テスト</w:t>
            </w:r>
          </w:p>
        </w:tc>
        <w:tc>
          <w:tcPr>
            <w:tcW w:w="4955" w:type="dxa"/>
            <w:vAlign w:val="top"/>
          </w:tcPr>
          <w:p>
            <w:pPr>
              <w:pStyle w:val="0"/>
              <w:rPr>
                <w:rFonts w:hint="default"/>
              </w:rPr>
            </w:pPr>
            <w:r>
              <w:rPr>
                <w:rFonts w:hint="eastAsia"/>
              </w:rPr>
              <w:t>システムが端末上で問題なく動作することを確認する。</w:t>
            </w:r>
          </w:p>
          <w:p>
            <w:pPr>
              <w:pStyle w:val="0"/>
              <w:rPr>
                <w:rFonts w:hint="default"/>
              </w:rPr>
            </w:pPr>
            <w:r>
              <w:rPr>
                <w:rFonts w:hint="eastAsia"/>
              </w:rPr>
              <w:t>また、システム使用者等が動作確認、検証及び練習等を行った際に生じた問題点等について必要な説明及び対応を行う。</w:t>
            </w:r>
          </w:p>
        </w:tc>
      </w:tr>
      <w:tr>
        <w:trPr/>
        <w:tc>
          <w:tcPr>
            <w:tcW w:w="426" w:type="dxa"/>
            <w:vAlign w:val="top"/>
          </w:tcPr>
          <w:p>
            <w:pPr>
              <w:pStyle w:val="0"/>
              <w:rPr>
                <w:rFonts w:hint="default"/>
              </w:rPr>
            </w:pPr>
            <w:r>
              <w:rPr>
                <w:rFonts w:hint="eastAsia"/>
              </w:rPr>
              <w:t>４</w:t>
            </w:r>
          </w:p>
        </w:tc>
        <w:tc>
          <w:tcPr>
            <w:tcW w:w="2692" w:type="dxa"/>
            <w:vAlign w:val="top"/>
          </w:tcPr>
          <w:p>
            <w:pPr>
              <w:pStyle w:val="0"/>
              <w:rPr>
                <w:rFonts w:hint="default"/>
              </w:rPr>
            </w:pPr>
            <w:r>
              <w:rPr>
                <w:rFonts w:hint="eastAsia"/>
              </w:rPr>
              <w:t>本稼働支援</w:t>
            </w:r>
          </w:p>
        </w:tc>
        <w:tc>
          <w:tcPr>
            <w:tcW w:w="4955" w:type="dxa"/>
            <w:vAlign w:val="top"/>
          </w:tcPr>
          <w:p>
            <w:pPr>
              <w:pStyle w:val="0"/>
              <w:rPr>
                <w:rFonts w:hint="default"/>
              </w:rPr>
            </w:pPr>
            <w:r>
              <w:rPr>
                <w:rFonts w:hint="eastAsia"/>
              </w:rPr>
              <w:t>システム本稼働当初、混乱が生じないよう稼働支援を行う。</w:t>
            </w:r>
          </w:p>
        </w:tc>
      </w:tr>
    </w:tbl>
    <w:p>
      <w:pPr>
        <w:pStyle w:val="0"/>
        <w:rPr>
          <w:rFonts w:hint="default"/>
        </w:rPr>
      </w:pPr>
    </w:p>
    <w:p>
      <w:pPr>
        <w:pStyle w:val="1"/>
        <w:numPr>
          <w:numId w:val="0"/>
        </w:numPr>
        <w:ind w:leftChars="0" w:firstLineChars="0"/>
        <w:rPr>
          <w:rFonts w:hint="default"/>
        </w:rPr>
      </w:pPr>
      <w:r>
        <w:rPr>
          <w:rFonts w:hint="eastAsia"/>
        </w:rPr>
        <w:t>７　操作研修</w:t>
      </w:r>
    </w:p>
    <w:p>
      <w:pPr>
        <w:pStyle w:val="0"/>
        <w:ind w:firstLine="210" w:firstLineChars="100"/>
        <w:rPr>
          <w:rFonts w:hint="default"/>
        </w:rPr>
      </w:pPr>
      <w:r>
        <w:rPr>
          <w:rFonts w:hint="eastAsia"/>
        </w:rPr>
        <w:t>システムの機能を理解し、操作方法等を習得するためにシステム稼働開始前に、発注者と協議の上、操作マニュアルを用いて操作研修を実施すること。</w:t>
      </w:r>
    </w:p>
    <w:p>
      <w:pPr>
        <w:pStyle w:val="0"/>
        <w:rPr>
          <w:rFonts w:hint="default"/>
        </w:rPr>
      </w:pPr>
    </w:p>
    <w:p>
      <w:pPr>
        <w:pStyle w:val="1"/>
        <w:numPr>
          <w:numId w:val="0"/>
        </w:numPr>
        <w:ind w:leftChars="0" w:firstLineChars="0"/>
        <w:rPr>
          <w:rFonts w:hint="default"/>
        </w:rPr>
      </w:pPr>
      <w:r>
        <w:rPr>
          <w:rFonts w:hint="eastAsia"/>
        </w:rPr>
        <w:t>８　その他</w:t>
      </w:r>
    </w:p>
    <w:p>
      <w:pPr>
        <w:pStyle w:val="18"/>
        <w:numPr>
          <w:ilvl w:val="0"/>
          <w:numId w:val="12"/>
        </w:numPr>
        <w:ind w:leftChars="0" w:hanging="308"/>
        <w:rPr>
          <w:rFonts w:hint="default"/>
        </w:rPr>
      </w:pPr>
      <w:r>
        <w:rPr>
          <w:rFonts w:hint="eastAsia"/>
        </w:rPr>
        <w:t>納品書類</w:t>
      </w:r>
    </w:p>
    <w:p>
      <w:pPr>
        <w:pStyle w:val="0"/>
        <w:ind w:left="424" w:leftChars="202" w:firstLine="136" w:firstLineChars="65"/>
        <w:rPr>
          <w:rFonts w:hint="default"/>
        </w:rPr>
      </w:pPr>
      <w:r>
        <w:rPr>
          <w:rFonts w:hint="eastAsia"/>
        </w:rPr>
        <w:t>マニュアル等の納品書類は次のとおりとする。紙媒体（全て各</w:t>
      </w:r>
      <w:r>
        <w:rPr>
          <w:rFonts w:hint="eastAsia"/>
        </w:rPr>
        <w:t>1</w:t>
      </w:r>
      <w:r>
        <w:rPr>
          <w:rFonts w:hint="eastAsia"/>
        </w:rPr>
        <w:t>部）及び電子媒体（</w:t>
      </w:r>
      <w:r>
        <w:rPr>
          <w:rFonts w:hint="eastAsia"/>
        </w:rPr>
        <w:t>DVD</w:t>
      </w:r>
      <w:r>
        <w:rPr>
          <w:rFonts w:hint="eastAsia"/>
        </w:rPr>
        <w:t>など）で納品すること。なお、電子媒体は</w:t>
      </w:r>
      <w:r>
        <w:rPr>
          <w:rFonts w:hint="default"/>
        </w:rPr>
        <w:t>PDF</w:t>
      </w:r>
      <w:r>
        <w:rPr>
          <w:rFonts w:hint="default"/>
        </w:rPr>
        <w:t>形式</w:t>
      </w:r>
      <w:r>
        <w:rPr>
          <w:rFonts w:hint="eastAsia"/>
        </w:rPr>
        <w:t>又は</w:t>
      </w:r>
      <w:r>
        <w:rPr>
          <w:rFonts w:hint="default"/>
        </w:rPr>
        <w:t>Microsoft Office 2016</w:t>
      </w:r>
      <w:r>
        <w:rPr>
          <w:rFonts w:hint="default"/>
        </w:rPr>
        <w:t>（</w:t>
      </w:r>
      <w:r>
        <w:rPr>
          <w:rFonts w:hint="default"/>
        </w:rPr>
        <w:t>Word</w:t>
      </w:r>
      <w:r>
        <w:rPr>
          <w:rFonts w:hint="default"/>
        </w:rPr>
        <w:t>、</w:t>
      </w:r>
      <w:r>
        <w:rPr>
          <w:rFonts w:hint="default"/>
        </w:rPr>
        <w:t>Excel</w:t>
      </w:r>
      <w:r>
        <w:rPr>
          <w:rFonts w:hint="default"/>
        </w:rPr>
        <w:t>または</w:t>
      </w:r>
      <w:r>
        <w:rPr>
          <w:rFonts w:hint="default"/>
        </w:rPr>
        <w:t>PowerPoint</w:t>
      </w:r>
      <w:r>
        <w:rPr>
          <w:rFonts w:hint="default"/>
        </w:rPr>
        <w:t>）以降の</w:t>
      </w:r>
      <w:r>
        <w:rPr>
          <w:rFonts w:hint="default"/>
        </w:rPr>
        <w:t>OpenXML</w:t>
      </w:r>
      <w:r>
        <w:rPr>
          <w:rFonts w:hint="default"/>
        </w:rPr>
        <w:t>形式</w:t>
      </w:r>
      <w:r>
        <w:rPr>
          <w:rFonts w:hint="eastAsia"/>
        </w:rPr>
        <w:t>とすること。</w:t>
      </w:r>
    </w:p>
    <w:p>
      <w:pPr>
        <w:pStyle w:val="18"/>
        <w:numPr>
          <w:ilvl w:val="0"/>
          <w:numId w:val="13"/>
        </w:numPr>
        <w:ind w:leftChars="0"/>
        <w:rPr>
          <w:rFonts w:hint="default"/>
        </w:rPr>
      </w:pPr>
      <w:r>
        <w:rPr>
          <w:rFonts w:hint="eastAsia"/>
        </w:rPr>
        <w:t>要件定義書</w:t>
      </w:r>
    </w:p>
    <w:p>
      <w:pPr>
        <w:pStyle w:val="18"/>
        <w:numPr>
          <w:ilvl w:val="0"/>
          <w:numId w:val="13"/>
        </w:numPr>
        <w:ind w:leftChars="0"/>
        <w:rPr>
          <w:rFonts w:hint="default"/>
        </w:rPr>
      </w:pPr>
      <w:r>
        <w:rPr>
          <w:rFonts w:hint="eastAsia"/>
        </w:rPr>
        <w:t>操作マニュアル</w:t>
      </w:r>
    </w:p>
    <w:p>
      <w:pPr>
        <w:pStyle w:val="18"/>
        <w:numPr>
          <w:ilvl w:val="0"/>
          <w:numId w:val="14"/>
        </w:numPr>
        <w:ind w:leftChars="0"/>
        <w:rPr>
          <w:rFonts w:hint="default"/>
          <w:vanish w:val="1"/>
        </w:rPr>
      </w:pPr>
    </w:p>
    <w:p>
      <w:pPr>
        <w:pStyle w:val="18"/>
        <w:numPr>
          <w:ilvl w:val="0"/>
          <w:numId w:val="14"/>
        </w:numPr>
        <w:ind w:leftChars="0"/>
        <w:rPr>
          <w:rFonts w:hint="default"/>
        </w:rPr>
      </w:pPr>
      <w:r>
        <w:rPr>
          <w:rFonts w:hint="eastAsia"/>
        </w:rPr>
        <w:t>支払い</w:t>
      </w:r>
    </w:p>
    <w:p>
      <w:pPr>
        <w:pStyle w:val="18"/>
        <w:ind w:left="420" w:leftChars="0"/>
        <w:rPr>
          <w:rFonts w:hint="default"/>
        </w:rPr>
      </w:pPr>
      <w:r>
        <w:rPr>
          <w:rFonts w:hint="eastAsia"/>
        </w:rPr>
        <w:t>　委託料について、受注者は、発注者による業務履行の確認を受けた後、委託料の支払請求書を発注者に提出すること。発注者は、受注者からの支払請求書に基づき、</w:t>
      </w:r>
      <w:r>
        <w:rPr>
          <w:rFonts w:hint="eastAsia"/>
        </w:rPr>
        <w:t>30</w:t>
      </w:r>
      <w:r>
        <w:rPr>
          <w:rFonts w:hint="eastAsia"/>
        </w:rPr>
        <w:t>日以内に委託料を支払うものとすること。</w:t>
      </w:r>
    </w:p>
    <w:p>
      <w:pPr>
        <w:pStyle w:val="18"/>
        <w:numPr>
          <w:ilvl w:val="0"/>
          <w:numId w:val="14"/>
        </w:numPr>
        <w:ind w:leftChars="0"/>
        <w:rPr>
          <w:rFonts w:hint="default"/>
        </w:rPr>
      </w:pPr>
      <w:r>
        <w:rPr>
          <w:rFonts w:hint="eastAsia"/>
        </w:rPr>
        <w:t>情報提供</w:t>
      </w:r>
    </w:p>
    <w:p>
      <w:pPr>
        <w:pStyle w:val="0"/>
        <w:ind w:left="424" w:hanging="424" w:hangingChars="202"/>
        <w:rPr>
          <w:rFonts w:hint="default"/>
        </w:rPr>
      </w:pPr>
      <w:r>
        <w:rPr>
          <w:rFonts w:hint="eastAsia"/>
        </w:rPr>
        <w:t>　　　発注者及びシステム使用者が本システムに関して情報提供を求めた場合には、これに応じること。ただし、その情報が受注者の不利益になる場合は発注者と受注者が協議し対応を決定するものとすること。</w:t>
      </w:r>
    </w:p>
    <w:p>
      <w:pPr>
        <w:pStyle w:val="18"/>
        <w:numPr>
          <w:ilvl w:val="0"/>
          <w:numId w:val="2"/>
        </w:numPr>
        <w:ind w:leftChars="0"/>
        <w:rPr>
          <w:rFonts w:hint="default"/>
        </w:rPr>
      </w:pPr>
      <w:r>
        <w:rPr>
          <w:rFonts w:hint="eastAsia"/>
        </w:rPr>
        <w:t>契約期間終了時のデータの引継ぎ</w:t>
      </w:r>
    </w:p>
    <w:p>
      <w:pPr>
        <w:pStyle w:val="0"/>
        <w:ind w:left="420" w:leftChars="200" w:firstLine="210" w:firstLineChars="100"/>
        <w:rPr>
          <w:rFonts w:hint="default"/>
        </w:rPr>
      </w:pPr>
      <w:r>
        <w:rPr>
          <w:rFonts w:hint="eastAsia"/>
        </w:rPr>
        <w:t>契約期間終了時には、蓄積された全てのデータを発注者に無償で引き継ぐこと。データ形式は</w:t>
      </w:r>
      <w:r>
        <w:rPr>
          <w:rFonts w:hint="eastAsia"/>
        </w:rPr>
        <w:t>CSV</w:t>
      </w:r>
      <w:r>
        <w:rPr>
          <w:rFonts w:hint="eastAsia"/>
        </w:rPr>
        <w:t>形式を基本とする。受注者は、引継ぎの完了を発注者が確認した後、すみやかに当該データの確実な消去を行い、発注者に報告すること。その際に発生する費用については、発注者に別途請求しないこと。</w:t>
      </w:r>
    </w:p>
    <w:p>
      <w:pPr>
        <w:pStyle w:val="0"/>
        <w:rPr>
          <w:rFonts w:hint="default"/>
        </w:rPr>
      </w:pPr>
    </w:p>
    <w:p>
      <w:pPr>
        <w:pStyle w:val="1"/>
        <w:numPr>
          <w:numId w:val="0"/>
        </w:numPr>
        <w:ind w:leftChars="0" w:firstLineChars="0"/>
        <w:rPr>
          <w:rFonts w:hint="default"/>
        </w:rPr>
      </w:pPr>
      <w:r>
        <w:rPr>
          <w:rFonts w:hint="eastAsia"/>
        </w:rPr>
        <w:t>９　記載外事項</w:t>
      </w:r>
    </w:p>
    <w:p>
      <w:pPr>
        <w:pStyle w:val="0"/>
        <w:rPr>
          <w:rFonts w:hint="default"/>
        </w:rPr>
      </w:pPr>
      <w:r>
        <w:rPr>
          <w:rFonts w:hint="eastAsia"/>
        </w:rPr>
        <w:t>　仕様書に記載のない事項については、発注者と受注者が協議し、対応を決定するものとする。</w:t>
      </w:r>
    </w:p>
    <w:sectPr>
      <w:footerReference r:id="rId6" w:type="default"/>
      <w:pgSz w:w="11906" w:h="16838"/>
      <w:pgMar w:top="1985" w:right="1701" w:bottom="1701" w:left="1701"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55126709"/>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32F23E"/>
    <w:lvl w:ilvl="0" w:tplc="E7289DFA">
      <w:start w:val="1"/>
      <w:numFmt w:val="decimal"/>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E66C5462"/>
    <w:lvl w:ilvl="0" w:tplc="84C0269C">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C78CCC74"/>
    <w:lvl w:ilvl="0" w:tplc="A804384E">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07CC63A2"/>
    <w:lvl w:ilvl="0" w:tplc="9F5C18E2">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1972B2FC"/>
    <w:lvl w:ilvl="0" w:tplc="79B8EC18">
      <w:numFmt w:val="bullet"/>
      <w:lvlText w:val="・"/>
      <w:lvlJc w:val="left"/>
      <w:pPr>
        <w:ind w:left="907" w:hanging="340"/>
      </w:pPr>
      <w:rPr>
        <w:rFonts w:hint="eastAsia" w:ascii="ＭＳ 明朝" w:hAnsi="ＭＳ 明朝" w:eastAsia="ＭＳ 明朝"/>
      </w:rPr>
    </w:lvl>
    <w:lvl w:ilvl="1" w:tplc="0409000B">
      <w:numFmt w:val="bullet"/>
      <w:lvlText w:val=""/>
      <w:lvlJc w:val="left"/>
      <w:pPr>
        <w:ind w:left="1405" w:hanging="420"/>
      </w:pPr>
      <w:rPr>
        <w:rFonts w:hint="default" w:ascii="Wingdings" w:hAnsi="Wingdings"/>
      </w:rPr>
    </w:lvl>
    <w:lvl w:ilvl="2" w:tplc="0409000D">
      <w:numFmt w:val="bullet"/>
      <w:lvlText w:val=""/>
      <w:lvlJc w:val="left"/>
      <w:pPr>
        <w:ind w:left="1825" w:hanging="420"/>
      </w:pPr>
      <w:rPr>
        <w:rFonts w:hint="default" w:ascii="Wingdings" w:hAnsi="Wingdings"/>
      </w:rPr>
    </w:lvl>
    <w:lvl w:ilvl="3" w:tplc="04090001">
      <w:numFmt w:val="bullet"/>
      <w:lvlText w:val=""/>
      <w:lvlJc w:val="left"/>
      <w:pPr>
        <w:ind w:left="2245" w:hanging="420"/>
      </w:pPr>
      <w:rPr>
        <w:rFonts w:hint="default" w:ascii="Wingdings" w:hAnsi="Wingdings"/>
      </w:rPr>
    </w:lvl>
    <w:lvl w:ilvl="4" w:tplc="0409000B">
      <w:numFmt w:val="bullet"/>
      <w:lvlText w:val=""/>
      <w:lvlJc w:val="left"/>
      <w:pPr>
        <w:ind w:left="2665" w:hanging="420"/>
      </w:pPr>
      <w:rPr>
        <w:rFonts w:hint="default" w:ascii="Wingdings" w:hAnsi="Wingdings"/>
      </w:rPr>
    </w:lvl>
    <w:lvl w:ilvl="5" w:tplc="0409000D">
      <w:numFmt w:val="bullet"/>
      <w:lvlText w:val=""/>
      <w:lvlJc w:val="left"/>
      <w:pPr>
        <w:ind w:left="3085" w:hanging="420"/>
      </w:pPr>
      <w:rPr>
        <w:rFonts w:hint="default" w:ascii="Wingdings" w:hAnsi="Wingdings"/>
      </w:rPr>
    </w:lvl>
    <w:lvl w:ilvl="6" w:tplc="04090001">
      <w:numFmt w:val="bullet"/>
      <w:lvlText w:val=""/>
      <w:lvlJc w:val="left"/>
      <w:pPr>
        <w:ind w:left="3505" w:hanging="420"/>
      </w:pPr>
      <w:rPr>
        <w:rFonts w:hint="default" w:ascii="Wingdings" w:hAnsi="Wingdings"/>
      </w:rPr>
    </w:lvl>
    <w:lvl w:ilvl="7" w:tplc="0409000B">
      <w:numFmt w:val="bullet"/>
      <w:lvlText w:val=""/>
      <w:lvlJc w:val="left"/>
      <w:pPr>
        <w:ind w:left="3925" w:hanging="420"/>
      </w:pPr>
      <w:rPr>
        <w:rFonts w:hint="default" w:ascii="Wingdings" w:hAnsi="Wingdings"/>
      </w:rPr>
    </w:lvl>
    <w:lvl w:ilvl="8" w:tplc="0409000D">
      <w:numFmt w:val="bullet"/>
      <w:lvlText w:val=""/>
      <w:lvlJc w:val="left"/>
      <w:pPr>
        <w:ind w:left="4345" w:hanging="420"/>
      </w:pPr>
      <w:rPr>
        <w:rFonts w:hint="default" w:ascii="Wingdings" w:hAnsi="Wingdings"/>
      </w:rPr>
    </w:lvl>
  </w:abstractNum>
  <w:abstractNum w:abstractNumId="5">
    <w:nsid w:val="00000006"/>
    <w:multiLevelType w:val="hybridMultilevel"/>
    <w:tmpl w:val="72F82DB2"/>
    <w:lvl w:ilvl="0" w:tplc="202A7426">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E92E3C38"/>
    <w:lvl w:ilvl="0" w:tplc="DBF606BC">
      <w:start w:val="1"/>
      <w:numFmt w:val="aiueoFullWidth"/>
      <w:lvlText w:val="%1"/>
      <w:lvlJc w:val="left"/>
      <w:pPr>
        <w:ind w:left="964" w:hanging="45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D12ACC7A"/>
    <w:lvl w:ilvl="0" w:tplc="805602CE">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778E1D98"/>
    <w:lvl w:ilvl="0" w:tplc="A066E7B2">
      <w:start w:val="1"/>
      <w:numFmt w:val="aiueoFullWidth"/>
      <w:lvlText w:val="%1"/>
      <w:lvlJc w:val="left"/>
      <w:pPr>
        <w:ind w:left="964" w:hanging="454"/>
      </w:pPr>
      <w:rPr>
        <w:rFonts w:hint="eastAsia"/>
      </w:rPr>
    </w:lvl>
    <w:lvl w:ilvl="1" w:tplc="0E542CC8">
      <w:start w:val="1"/>
      <w:numFmt w:val="aiueoFullWidth"/>
      <w:lvlText w:val="(%2)"/>
      <w:lvlJc w:val="left"/>
      <w:pPr>
        <w:ind w:left="915" w:hanging="495"/>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2358404A"/>
    <w:lvl w:ilvl="0" w:tplc="04090017">
      <w:start w:val="1"/>
      <w:numFmt w:val="aiueoFullWidth"/>
      <w:lvlText w:val="(%1)"/>
      <w:lvlJc w:val="left"/>
      <w:pPr>
        <w:ind w:left="1384" w:hanging="420"/>
      </w:pPr>
    </w:lvl>
    <w:lvl w:ilvl="1" w:tplc="F8A4559E">
      <w:start w:val="1"/>
      <w:numFmt w:val="aiueoFullWidth"/>
      <w:lvlText w:val="(%2)"/>
      <w:lvlJc w:val="left"/>
      <w:pPr>
        <w:ind w:left="1418" w:hanging="567"/>
      </w:pPr>
      <w:rPr>
        <w:rFonts w:hint="eastAsia"/>
      </w:rPr>
    </w:lvl>
    <w:lvl w:ilvl="2" w:tplc="04090011">
      <w:start w:val="1"/>
      <w:numFmt w:val="decimalEnclosedCircle"/>
      <w:lvlText w:val="%3"/>
      <w:lvlJc w:val="left"/>
      <w:pPr>
        <w:ind w:left="2224" w:hanging="420"/>
      </w:pPr>
    </w:lvl>
    <w:lvl w:ilvl="3" w:tplc="0409000F">
      <w:start w:val="1"/>
      <w:numFmt w:val="decimal"/>
      <w:lvlText w:val="%4."/>
      <w:lvlJc w:val="left"/>
      <w:pPr>
        <w:ind w:left="2644" w:hanging="420"/>
      </w:pPr>
    </w:lvl>
    <w:lvl w:ilvl="4" w:tplc="04090017">
      <w:start w:val="1"/>
      <w:numFmt w:val="aiueoFullWidth"/>
      <w:lvlText w:val="(%5)"/>
      <w:lvlJc w:val="left"/>
      <w:pPr>
        <w:ind w:left="3064" w:hanging="420"/>
      </w:pPr>
    </w:lvl>
    <w:lvl w:ilvl="5" w:tplc="04090011">
      <w:start w:val="1"/>
      <w:numFmt w:val="decimalEnclosedCircle"/>
      <w:lvlText w:val="%6"/>
      <w:lvlJc w:val="left"/>
      <w:pPr>
        <w:ind w:left="3484" w:hanging="420"/>
      </w:pPr>
    </w:lvl>
    <w:lvl w:ilvl="6" w:tplc="0409000F">
      <w:start w:val="1"/>
      <w:numFmt w:val="decimal"/>
      <w:lvlText w:val="%7."/>
      <w:lvlJc w:val="left"/>
      <w:pPr>
        <w:ind w:left="3904" w:hanging="420"/>
      </w:pPr>
    </w:lvl>
    <w:lvl w:ilvl="7" w:tplc="04090017">
      <w:start w:val="1"/>
      <w:numFmt w:val="aiueoFullWidth"/>
      <w:lvlText w:val="(%8)"/>
      <w:lvlJc w:val="left"/>
      <w:pPr>
        <w:ind w:left="4324" w:hanging="420"/>
      </w:pPr>
    </w:lvl>
    <w:lvl w:ilvl="8" w:tplc="04090011">
      <w:start w:val="1"/>
      <w:numFmt w:val="decimalEnclosedCircle"/>
      <w:lvlText w:val="%9"/>
      <w:lvlJc w:val="left"/>
      <w:pPr>
        <w:ind w:left="4744" w:hanging="420"/>
      </w:pPr>
    </w:lvl>
  </w:abstractNum>
  <w:abstractNum w:abstractNumId="10">
    <w:nsid w:val="0000000B"/>
    <w:multiLevelType w:val="hybridMultilevel"/>
    <w:tmpl w:val="E7204AB8"/>
    <w:lvl w:ilvl="0" w:tplc="5A6C4C18">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4E5A55E2"/>
    <w:lvl w:ilvl="0" w:tplc="91168AD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FF086FFA"/>
    <w:lvl w:ilvl="0" w:tplc="36EA0EE6">
      <w:start w:val="1"/>
      <w:numFmt w:val="aiueoFullWidth"/>
      <w:lvlText w:val="%1"/>
      <w:lvlJc w:val="left"/>
      <w:pPr>
        <w:ind w:left="964" w:hanging="45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CF9AFCA8"/>
    <w:lvl w:ilvl="0" w:tplc="2B642884">
      <w:start w:val="1"/>
      <w:numFmt w:val="decimalFullWidth"/>
      <w:lvlText w:val="（%1）"/>
      <w:lvlJc w:val="left"/>
      <w:pPr>
        <w:ind w:left="420" w:hanging="30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numPr>
        <w:ilvl w:val="0"/>
        <w:numId w:val="1"/>
      </w:numPr>
      <w:ind w:left="227" w:hanging="227"/>
      <w:outlineLvl w:val="0"/>
    </w:pPr>
    <w:rPr>
      <w:rFonts w:asciiTheme="majorHAnsi" w:hAnsiTheme="majorHAnsi"/>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after="360" w:afterLines="100" w:afterAutospacing="0"/>
      <w:jc w:val="center"/>
      <w:outlineLvl w:val="0"/>
    </w:pPr>
    <w:rPr>
      <w:rFonts w:eastAsia="游ゴシック" w:asciiTheme="majorHAnsi" w:hAnsiTheme="majorHAnsi"/>
      <w:b w:val="1"/>
      <w:sz w:val="24"/>
    </w:rPr>
  </w:style>
  <w:style w:type="character" w:styleId="16" w:customStyle="1">
    <w:name w:val="表題 (文字)"/>
    <w:basedOn w:val="10"/>
    <w:next w:val="16"/>
    <w:link w:val="15"/>
    <w:uiPriority w:val="0"/>
    <w:rPr>
      <w:rFonts w:eastAsia="游ゴシック" w:asciiTheme="majorHAnsi" w:hAnsiTheme="majorHAnsi"/>
      <w:b w:val="1"/>
      <w:sz w:val="24"/>
    </w:rPr>
  </w:style>
  <w:style w:type="character" w:styleId="17" w:customStyle="1">
    <w:name w:val="見出し 1 (文字)"/>
    <w:basedOn w:val="10"/>
    <w:next w:val="17"/>
    <w:link w:val="1"/>
    <w:uiPriority w:val="0"/>
    <w:rPr>
      <w:rFonts w:asciiTheme="majorHAnsi" w:hAnsiTheme="majorHAnsi"/>
      <w:b w:val="1"/>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888</TotalTime>
  <Pages>4</Pages>
  <Words>53</Words>
  <Characters>2663</Characters>
  <Application>JUST Note</Application>
  <Lines>132</Lines>
  <Paragraphs>77</Paragraphs>
  <Company>Dynabook</Company>
  <CharactersWithSpaces>2687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木原　由理</dc:creator>
  <cp:lastModifiedBy>Administrator</cp:lastModifiedBy>
  <cp:lastPrinted>2025-11-18T01:14:25Z</cp:lastPrinted>
  <dcterms:created xsi:type="dcterms:W3CDTF">2025-05-06T06:18:00Z</dcterms:created>
  <dcterms:modified xsi:type="dcterms:W3CDTF">2025-11-18T01:14:34Z</dcterms:modified>
  <cp:revision>28</cp:revision>
</cp:coreProperties>
</file>