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P創英角ｺﾞｼｯｸUB" w:hAnsi="HGP創英角ｺﾞｼｯｸUB" w:eastAsia="HGP創英角ｺﾞｼｯｸUB"/>
          <w:sz w:val="32"/>
        </w:rPr>
      </w:pPr>
      <w:r>
        <w:rPr>
          <w:rFonts w:hint="eastAsia" w:ascii="HGP創英角ｺﾞｼｯｸUB" w:hAnsi="HGP創英角ｺﾞｼｯｸUB" w:eastAsia="HGP創英角ｺﾞｼｯｸUB"/>
          <w:sz w:val="32"/>
        </w:rPr>
        <w:t>新相生市民病院改革プランの点検・評価結果報告</w:t>
      </w:r>
    </w:p>
    <w:p>
      <w:pPr>
        <w:pStyle w:val="0"/>
        <w:ind w:firstLine="240" w:firstLineChars="10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相生市民病院では、「経営強化プラン検討委員会」を開催し、令和５年度相生市病院事業会計決算に係る点検・評価を行いましたので、市民の皆様にその内容をお知らせします。</w:t>
      </w:r>
    </w:p>
    <w:p>
      <w:pPr>
        <w:pStyle w:val="0"/>
        <w:ind w:firstLine="240" w:firstLineChars="100"/>
        <w:rPr>
          <w:rFonts w:hint="default" w:asciiTheme="minorEastAsia" w:hAnsiTheme="minorEastAsia"/>
          <w:sz w:val="24"/>
        </w:rPr>
      </w:pPr>
      <w:r>
        <w:rPr>
          <w:rFonts w:hint="eastAsia" w:asciiTheme="minorEastAsia" w:hAnsiTheme="minorEastAsia"/>
          <w:sz w:val="24"/>
        </w:rPr>
        <w:t>今回の点検・評価は、令和４年度の実績を基に設定した経常収支比率などの目標経営指標と令和５年度決算における実績値を比較する方法により行いました。</w:t>
      </w:r>
    </w:p>
    <w:p>
      <w:pPr>
        <w:pStyle w:val="0"/>
        <w:ind w:firstLine="240" w:firstLineChars="100"/>
        <w:rPr>
          <w:rFonts w:hint="default" w:asciiTheme="minorEastAsia" w:hAnsiTheme="minorEastAsia"/>
          <w:sz w:val="24"/>
        </w:rPr>
      </w:pPr>
    </w:p>
    <w:p>
      <w:pPr>
        <w:pStyle w:val="0"/>
        <w:jc w:val="center"/>
        <w:rPr>
          <w:rFonts w:hint="default" w:asciiTheme="majorEastAsia" w:hAnsiTheme="majorEastAsia" w:eastAsiaTheme="majorEastAsia"/>
          <w:sz w:val="28"/>
        </w:rPr>
      </w:pPr>
      <w:r>
        <w:rPr>
          <w:rFonts w:hint="eastAsia" w:asciiTheme="majorEastAsia" w:hAnsiTheme="majorEastAsia" w:eastAsiaTheme="majorEastAsia"/>
          <w:sz w:val="28"/>
        </w:rPr>
        <w:t>１　病院の決算状況</w:t>
      </w:r>
    </w:p>
    <w:p>
      <w:pPr>
        <w:pStyle w:val="0"/>
        <w:jc w:val="center"/>
        <w:rPr>
          <w:rFonts w:hint="default" w:asciiTheme="majorEastAsia" w:hAnsiTheme="majorEastAsia" w:eastAsiaTheme="majorEastAsia"/>
          <w:sz w:val="28"/>
        </w:rPr>
      </w:pPr>
    </w:p>
    <w:p>
      <w:pPr>
        <w:pStyle w:val="0"/>
        <w:rPr>
          <w:rFonts w:hint="default" w:asciiTheme="minorEastAsia" w:hAnsiTheme="minorEastAsia"/>
          <w:sz w:val="24"/>
        </w:rPr>
      </w:pPr>
      <w:r>
        <w:rPr>
          <w:rFonts w:hint="eastAsia" w:asciiTheme="minorEastAsia" w:hAnsiTheme="minorEastAsia"/>
          <w:sz w:val="24"/>
        </w:rPr>
        <w:t>　令和５年度相生市病院事業会計の決算状況は以下のとおりです。</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○業務の状況</w:t>
      </w:r>
    </w:p>
    <w:p>
      <w:pPr>
        <w:pStyle w:val="0"/>
        <w:ind w:firstLine="240" w:firstLineChars="100"/>
        <w:rPr>
          <w:rFonts w:hint="default" w:asciiTheme="minorEastAsia" w:hAnsiTheme="minorEastAsia"/>
          <w:sz w:val="24"/>
        </w:rPr>
      </w:pPr>
      <w:r>
        <w:rPr>
          <w:rFonts w:hint="eastAsia" w:asciiTheme="minorEastAsia" w:hAnsiTheme="minorEastAsia"/>
          <w:sz w:val="24"/>
        </w:rPr>
        <w:t>延べ患者数は、入院８，１４０人、外来１４，４５０人で、前年度に比べ入院患者数は２４２人、外来患者数は２０２人の減となりました。</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○経理の状況</w:t>
      </w:r>
    </w:p>
    <w:p>
      <w:pPr>
        <w:pStyle w:val="0"/>
        <w:rPr>
          <w:rFonts w:hint="default" w:asciiTheme="minorEastAsia" w:hAnsiTheme="minorEastAsia"/>
          <w:sz w:val="24"/>
        </w:rPr>
      </w:pPr>
      <w:r>
        <w:rPr>
          <w:rFonts w:hint="eastAsia" w:asciiTheme="minorEastAsia" w:hAnsiTheme="minorEastAsia"/>
          <w:sz w:val="24"/>
        </w:rPr>
        <w:t>　経営状況を表す収益的収支については、一般会計からの</w:t>
      </w:r>
      <w:r>
        <w:rPr>
          <w:rFonts w:hint="eastAsia" w:asciiTheme="minorEastAsia" w:hAnsiTheme="minorEastAsia"/>
          <w:color w:val="auto"/>
          <w:sz w:val="24"/>
        </w:rPr>
        <w:t>繰入金約１億１，５６６万円を含めて、総収益は約６億７，８９８万円、総費用は約６億８，９３３万円</w:t>
      </w:r>
      <w:r>
        <w:rPr>
          <w:rFonts w:hint="eastAsia" w:asciiTheme="minorEastAsia" w:hAnsiTheme="minorEastAsia"/>
          <w:sz w:val="24"/>
        </w:rPr>
        <w:t>となり、約１，０３５万円の純損失となりました。</w:t>
      </w:r>
    </w:p>
    <w:p>
      <w:pPr>
        <w:pStyle w:val="0"/>
        <w:jc w:val="left"/>
        <w:rPr>
          <w:rFonts w:hint="default" w:asciiTheme="minorEastAsia" w:hAnsiTheme="minorEastAsia"/>
          <w:sz w:val="24"/>
        </w:rPr>
      </w:pPr>
      <w:r>
        <w:rPr>
          <w:rFonts w:hint="eastAsia" w:asciiTheme="minorEastAsia" w:hAnsiTheme="minorEastAsia"/>
          <w:sz w:val="24"/>
        </w:rPr>
        <w:t>　医業収益は、約５憶２，０４８万円で、新型コロナウイルス感染症が感染症法上第５類へ移行し、コロナ禍前の通常の診療体制に戻しながら患者の確保に努めたものの、患者数の減により、前年度に比べ約１１９万円の減となりました。また医業費用は、約６憶６，３５６万円で、医師、看護師等の退職金や施設修繕費等の経費、電子カルテシステムや</w:t>
      </w:r>
      <w:r>
        <w:rPr>
          <w:rFonts w:hint="eastAsia" w:asciiTheme="minorEastAsia" w:hAnsiTheme="minorEastAsia"/>
          <w:sz w:val="24"/>
        </w:rPr>
        <w:t>CT</w:t>
      </w:r>
      <w:r>
        <w:rPr>
          <w:rFonts w:hint="eastAsia" w:asciiTheme="minorEastAsia" w:hAnsiTheme="minorEastAsia"/>
          <w:sz w:val="24"/>
        </w:rPr>
        <w:t>購入による減価償却費等の増により、前年度に比べ約４，０６５万円の増となりました。</w:t>
      </w:r>
    </w:p>
    <w:p>
      <w:pPr>
        <w:pStyle w:val="0"/>
        <w:widowControl w:val="1"/>
        <w:jc w:val="left"/>
        <w:rPr>
          <w:rFonts w:hint="default" w:asciiTheme="majorEastAsia" w:hAnsiTheme="majorEastAsia" w:eastAsiaTheme="majorEastAsia"/>
          <w:color w:val="FF0000"/>
          <w:sz w:val="28"/>
        </w:rPr>
      </w:pPr>
      <w:r>
        <w:rPr>
          <w:rFonts w:hint="default" w:asciiTheme="majorEastAsia" w:hAnsiTheme="majorEastAsia" w:eastAsiaTheme="majorEastAsia"/>
          <w:color w:val="FF0000"/>
          <w:sz w:val="28"/>
        </w:rPr>
        <w:br w:type="page"/>
      </w:r>
    </w:p>
    <w:p>
      <w:pPr>
        <w:pStyle w:val="0"/>
        <w:jc w:val="center"/>
        <w:rPr>
          <w:rFonts w:hint="default" w:asciiTheme="majorEastAsia" w:hAnsiTheme="majorEastAsia" w:eastAsiaTheme="majorEastAsia"/>
          <w:sz w:val="28"/>
        </w:rPr>
      </w:pPr>
      <w:r>
        <w:rPr>
          <w:rFonts w:hint="eastAsia" w:asciiTheme="majorEastAsia" w:hAnsiTheme="majorEastAsia" w:eastAsiaTheme="majorEastAsia"/>
          <w:sz w:val="28"/>
        </w:rPr>
        <w:t>２　目標経営指標の評価</w:t>
      </w:r>
    </w:p>
    <w:p>
      <w:pPr>
        <w:pStyle w:val="0"/>
        <w:ind w:firstLine="240" w:firstLineChars="100"/>
        <w:rPr>
          <w:rFonts w:hint="default" w:asciiTheme="minorEastAsia" w:hAnsiTheme="minorEastAsia"/>
          <w:sz w:val="24"/>
          <w:highlight w:val="none"/>
        </w:rPr>
      </w:pPr>
      <w:r>
        <w:rPr>
          <w:rFonts w:hint="eastAsia" w:asciiTheme="minorEastAsia" w:hAnsiTheme="minorEastAsia"/>
          <w:sz w:val="24"/>
        </w:rPr>
        <w:t>令和５年度相生市病院事業会計決算における実績値は下表のとおりです。患者数の減により医業収益が減少し</w:t>
      </w:r>
      <w:r>
        <w:rPr>
          <w:rFonts w:hint="eastAsia" w:asciiTheme="minorEastAsia" w:hAnsiTheme="minorEastAsia"/>
          <w:sz w:val="24"/>
          <w:highlight w:val="none"/>
        </w:rPr>
        <w:t>、１日一人当たり入院単価は達成できたものの、それ以外の項目については達成できませんでした。</w:t>
      </w:r>
    </w:p>
    <w:tbl>
      <w:tblPr>
        <w:tblStyle w:val="25"/>
        <w:tblpPr w:leftFromText="0" w:rightFromText="0" w:topFromText="0" w:bottomFromText="0" w:vertAnchor="text" w:horzAnchor="margin" w:tblpX="-131" w:tblpY="345"/>
        <w:tblOverlap w:val="never"/>
        <w:tblW w:w="8532" w:type="dxa"/>
        <w:tblLayout w:type="fixed"/>
        <w:tblLook w:firstRow="1" w:lastRow="0" w:firstColumn="1" w:lastColumn="0" w:noHBand="0" w:noVBand="1" w:val="04A0"/>
      </w:tblPr>
      <w:tblGrid>
        <w:gridCol w:w="2824"/>
        <w:gridCol w:w="1903"/>
        <w:gridCol w:w="1902"/>
        <w:gridCol w:w="1903"/>
      </w:tblGrid>
      <w:tr>
        <w:trPr/>
        <w:tc>
          <w:tcPr>
            <w:tcW w:w="2967" w:type="dxa"/>
            <w:vAlign w:val="top"/>
          </w:tcPr>
          <w:p>
            <w:pPr>
              <w:pStyle w:val="0"/>
              <w:jc w:val="center"/>
              <w:rPr>
                <w:rFonts w:hint="default" w:asciiTheme="minorEastAsia" w:hAnsiTheme="minorEastAsia"/>
                <w:sz w:val="24"/>
              </w:rPr>
            </w:pPr>
            <w:r>
              <w:rPr>
                <w:rFonts w:hint="eastAsia" w:asciiTheme="minorEastAsia" w:hAnsiTheme="minorEastAsia"/>
                <w:spacing w:val="3"/>
                <w:kern w:val="0"/>
                <w:sz w:val="24"/>
                <w:fitText w:val="2208" w:id="1"/>
              </w:rPr>
              <w:t>財務に係る数値目</w:t>
            </w:r>
            <w:r>
              <w:rPr>
                <w:rFonts w:hint="eastAsia" w:asciiTheme="minorEastAsia" w:hAnsiTheme="minorEastAsia"/>
                <w:kern w:val="0"/>
                <w:sz w:val="24"/>
                <w:fitText w:val="2208" w:id="1"/>
              </w:rPr>
              <w:t>標</w:t>
            </w:r>
          </w:p>
        </w:tc>
        <w:tc>
          <w:tcPr>
            <w:tcW w:w="1995" w:type="dxa"/>
            <w:vAlign w:val="top"/>
          </w:tcPr>
          <w:p>
            <w:pPr>
              <w:pStyle w:val="0"/>
              <w:jc w:val="center"/>
              <w:rPr>
                <w:rFonts w:hint="default" w:asciiTheme="minorEastAsia" w:hAnsiTheme="minorEastAsia"/>
                <w:sz w:val="24"/>
              </w:rPr>
            </w:pPr>
            <w:r>
              <w:rPr>
                <w:rFonts w:hint="eastAsia" w:asciiTheme="minorEastAsia" w:hAnsiTheme="minorEastAsia"/>
                <w:spacing w:val="180"/>
                <w:kern w:val="0"/>
                <w:sz w:val="24"/>
                <w:fitText w:val="1440" w:id="2"/>
              </w:rPr>
              <w:t>目標</w:t>
            </w:r>
            <w:r>
              <w:rPr>
                <w:rFonts w:hint="eastAsia" w:asciiTheme="minorEastAsia" w:hAnsiTheme="minorEastAsia"/>
                <w:kern w:val="0"/>
                <w:sz w:val="24"/>
                <w:fitText w:val="1440" w:id="2"/>
              </w:rPr>
              <w:t>値</w:t>
            </w:r>
          </w:p>
        </w:tc>
        <w:tc>
          <w:tcPr>
            <w:tcW w:w="199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inorEastAsia" w:hAnsiTheme="minorEastAsia"/>
                <w:sz w:val="24"/>
              </w:rPr>
            </w:pPr>
            <w:r>
              <w:rPr>
                <w:rFonts w:hint="eastAsia"/>
                <w:sz w:val="24"/>
              </w:rPr>
              <w:t>実　績　値</w:t>
            </w:r>
          </w:p>
        </w:tc>
        <w:tc>
          <w:tcPr>
            <w:tcW w:w="199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Theme="minorEastAsia" w:hAnsiTheme="minorEastAsia"/>
                <w:sz w:val="24"/>
              </w:rPr>
            </w:pPr>
            <w:r>
              <w:rPr>
                <w:rFonts w:hint="eastAsia" w:asciiTheme="minorEastAsia" w:hAnsiTheme="minorEastAsia"/>
                <w:sz w:val="24"/>
              </w:rPr>
              <w:t>達</w:t>
            </w:r>
            <w:r>
              <w:rPr>
                <w:rFonts w:hint="eastAsia" w:asciiTheme="minorEastAsia" w:hAnsiTheme="minorEastAsia"/>
                <w:sz w:val="24"/>
              </w:rPr>
              <w:t xml:space="preserve"> </w:t>
            </w:r>
            <w:r>
              <w:rPr>
                <w:rFonts w:hint="eastAsia" w:asciiTheme="minorEastAsia" w:hAnsiTheme="minorEastAsia"/>
                <w:sz w:val="24"/>
              </w:rPr>
              <w:t>成</w:t>
            </w:r>
            <w:r>
              <w:rPr>
                <w:rFonts w:hint="eastAsia" w:asciiTheme="minorEastAsia" w:hAnsiTheme="minorEastAsia"/>
                <w:sz w:val="24"/>
              </w:rPr>
              <w:t xml:space="preserve"> </w:t>
            </w:r>
            <w:r>
              <w:rPr>
                <w:rFonts w:hint="eastAsia" w:asciiTheme="minorEastAsia" w:hAnsiTheme="minorEastAsia"/>
                <w:sz w:val="24"/>
              </w:rPr>
              <w:t>状</w:t>
            </w:r>
            <w:r>
              <w:rPr>
                <w:rFonts w:hint="eastAsia" w:asciiTheme="minorEastAsia" w:hAnsiTheme="minorEastAsia"/>
                <w:sz w:val="24"/>
              </w:rPr>
              <w:t xml:space="preserve"> </w:t>
            </w:r>
            <w:r>
              <w:rPr>
                <w:rFonts w:hint="eastAsia" w:asciiTheme="minorEastAsia" w:hAnsiTheme="minorEastAsia"/>
                <w:sz w:val="24"/>
              </w:rPr>
              <w:t>況</w:t>
            </w:r>
          </w:p>
        </w:tc>
      </w:tr>
      <w:tr>
        <w:trPr>
          <w:trHeight w:val="567" w:hRule="atLeast"/>
        </w:trPr>
        <w:tc>
          <w:tcPr>
            <w:tcW w:w="2967" w:type="dxa"/>
            <w:vAlign w:val="center"/>
          </w:tcPr>
          <w:p>
            <w:pPr>
              <w:pStyle w:val="0"/>
              <w:jc w:val="distribute"/>
              <w:rPr>
                <w:rFonts w:hint="default" w:asciiTheme="minorEastAsia" w:hAnsiTheme="minorEastAsia"/>
                <w:kern w:val="0"/>
                <w:sz w:val="24"/>
              </w:rPr>
            </w:pPr>
            <w:r>
              <w:rPr>
                <w:rFonts w:hint="eastAsia" w:asciiTheme="minorEastAsia" w:hAnsiTheme="minorEastAsia"/>
                <w:kern w:val="0"/>
                <w:sz w:val="24"/>
              </w:rPr>
              <w:t>経常収支比率</w:t>
            </w:r>
          </w:p>
        </w:tc>
        <w:tc>
          <w:tcPr>
            <w:tcW w:w="1995" w:type="dxa"/>
            <w:vAlign w:val="center"/>
          </w:tcPr>
          <w:p>
            <w:pPr>
              <w:pStyle w:val="0"/>
              <w:jc w:val="right"/>
              <w:rPr>
                <w:rFonts w:hint="default" w:asciiTheme="minorEastAsia" w:hAnsiTheme="minorEastAsia"/>
                <w:sz w:val="24"/>
              </w:rPr>
            </w:pPr>
            <w:r>
              <w:rPr>
                <w:rFonts w:hint="eastAsia" w:asciiTheme="minorEastAsia" w:hAnsiTheme="minorEastAsia"/>
                <w:sz w:val="24"/>
              </w:rPr>
              <w:t>１０３．６</w:t>
            </w:r>
          </w:p>
        </w:tc>
        <w:tc>
          <w:tcPr>
            <w:tcW w:w="199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sz w:val="24"/>
              </w:rPr>
            </w:pPr>
            <w:r>
              <w:rPr>
                <w:rFonts w:hint="eastAsia" w:asciiTheme="minorEastAsia" w:hAnsiTheme="minorEastAsia"/>
                <w:sz w:val="24"/>
              </w:rPr>
              <w:t>９８．５</w:t>
            </w:r>
          </w:p>
        </w:tc>
        <w:tc>
          <w:tcPr>
            <w:tcW w:w="199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w:t>
            </w:r>
          </w:p>
        </w:tc>
      </w:tr>
      <w:tr>
        <w:trPr>
          <w:trHeight w:val="567" w:hRule="atLeast"/>
        </w:trPr>
        <w:tc>
          <w:tcPr>
            <w:tcW w:w="2967" w:type="dxa"/>
            <w:vAlign w:val="center"/>
          </w:tcPr>
          <w:p>
            <w:pPr>
              <w:pStyle w:val="0"/>
              <w:jc w:val="distribute"/>
              <w:rPr>
                <w:rFonts w:hint="default" w:asciiTheme="minorEastAsia" w:hAnsiTheme="minorEastAsia"/>
                <w:kern w:val="0"/>
                <w:sz w:val="24"/>
              </w:rPr>
            </w:pPr>
            <w:r>
              <w:rPr>
                <w:rFonts w:hint="eastAsia" w:asciiTheme="minorEastAsia" w:hAnsiTheme="minorEastAsia"/>
                <w:kern w:val="0"/>
                <w:sz w:val="24"/>
              </w:rPr>
              <w:t>医業収支比率</w:t>
            </w:r>
          </w:p>
        </w:tc>
        <w:tc>
          <w:tcPr>
            <w:tcW w:w="1995" w:type="dxa"/>
            <w:vAlign w:val="center"/>
          </w:tcPr>
          <w:p>
            <w:pPr>
              <w:pStyle w:val="0"/>
              <w:jc w:val="right"/>
              <w:rPr>
                <w:rFonts w:hint="default" w:asciiTheme="minorEastAsia" w:hAnsiTheme="minorEastAsia"/>
                <w:sz w:val="24"/>
              </w:rPr>
            </w:pPr>
            <w:r>
              <w:rPr>
                <w:rFonts w:hint="eastAsia" w:asciiTheme="minorEastAsia" w:hAnsiTheme="minorEastAsia"/>
                <w:sz w:val="24"/>
              </w:rPr>
              <w:t>９４．９</w:t>
            </w:r>
          </w:p>
        </w:tc>
        <w:tc>
          <w:tcPr>
            <w:tcW w:w="199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sz w:val="24"/>
              </w:rPr>
            </w:pPr>
            <w:r>
              <w:rPr>
                <w:rFonts w:hint="eastAsia" w:asciiTheme="minorEastAsia" w:hAnsiTheme="minorEastAsia"/>
                <w:sz w:val="24"/>
              </w:rPr>
              <w:t>７８．４</w:t>
            </w:r>
          </w:p>
        </w:tc>
        <w:tc>
          <w:tcPr>
            <w:tcW w:w="1995"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w:t>
            </w:r>
          </w:p>
        </w:tc>
      </w:tr>
      <w:tr>
        <w:trPr>
          <w:trHeight w:val="567" w:hRule="atLeast"/>
        </w:trPr>
        <w:tc>
          <w:tcPr>
            <w:tcW w:w="29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kern w:val="0"/>
                <w:sz w:val="24"/>
              </w:rPr>
            </w:pPr>
            <w:r>
              <w:rPr>
                <w:rFonts w:hint="eastAsia" w:asciiTheme="minorEastAsia" w:hAnsiTheme="minorEastAsia"/>
                <w:kern w:val="0"/>
                <w:sz w:val="24"/>
              </w:rPr>
              <w:t>職員給与比率</w:t>
            </w:r>
          </w:p>
        </w:tc>
        <w:tc>
          <w:tcPr>
            <w:tcW w:w="19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4"/>
              </w:rPr>
            </w:pPr>
            <w:r>
              <w:rPr>
                <w:rFonts w:hint="eastAsia" w:asciiTheme="minorEastAsia" w:hAnsiTheme="minorEastAsia"/>
                <w:sz w:val="24"/>
              </w:rPr>
              <w:t>４７．０</w:t>
            </w:r>
          </w:p>
        </w:tc>
        <w:tc>
          <w:tcPr>
            <w:tcW w:w="199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sz w:val="24"/>
              </w:rPr>
            </w:pPr>
            <w:r>
              <w:rPr>
                <w:rFonts w:hint="eastAsia" w:asciiTheme="minorEastAsia" w:hAnsiTheme="minorEastAsia"/>
                <w:sz w:val="24"/>
              </w:rPr>
              <w:t>６０．１</w:t>
            </w:r>
          </w:p>
        </w:tc>
        <w:tc>
          <w:tcPr>
            <w:tcW w:w="1995"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w:t>
            </w:r>
          </w:p>
        </w:tc>
      </w:tr>
      <w:tr>
        <w:trPr>
          <w:trHeight w:val="567" w:hRule="atLeast"/>
        </w:trPr>
        <w:tc>
          <w:tcPr>
            <w:tcW w:w="29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kern w:val="0"/>
                <w:sz w:val="24"/>
              </w:rPr>
            </w:pPr>
            <w:r>
              <w:rPr>
                <w:rFonts w:hint="eastAsia" w:asciiTheme="minorEastAsia" w:hAnsiTheme="minorEastAsia"/>
                <w:kern w:val="0"/>
                <w:sz w:val="24"/>
              </w:rPr>
              <w:t>材料費比率</w:t>
            </w:r>
          </w:p>
        </w:tc>
        <w:tc>
          <w:tcPr>
            <w:tcW w:w="199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4"/>
              </w:rPr>
            </w:pPr>
            <w:r>
              <w:rPr>
                <w:rFonts w:hint="eastAsia" w:asciiTheme="minorEastAsia" w:hAnsiTheme="minorEastAsia"/>
                <w:sz w:val="24"/>
              </w:rPr>
              <w:t>２６．３</w:t>
            </w:r>
          </w:p>
        </w:tc>
        <w:tc>
          <w:tcPr>
            <w:tcW w:w="199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sz w:val="24"/>
              </w:rPr>
            </w:pPr>
            <w:r>
              <w:rPr>
                <w:rFonts w:hint="eastAsia" w:asciiTheme="minorEastAsia" w:hAnsiTheme="minorEastAsia"/>
                <w:sz w:val="24"/>
              </w:rPr>
              <w:t>２６．６</w:t>
            </w:r>
          </w:p>
        </w:tc>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w:t>
            </w:r>
          </w:p>
        </w:tc>
      </w:tr>
      <w:tr>
        <w:trPr>
          <w:trHeight w:val="567" w:hRule="atLeast"/>
        </w:trPr>
        <w:tc>
          <w:tcPr>
            <w:tcW w:w="29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kern w:val="0"/>
                <w:sz w:val="24"/>
              </w:rPr>
            </w:pPr>
            <w:r>
              <w:rPr>
                <w:rFonts w:hint="eastAsia" w:asciiTheme="minorEastAsia" w:hAnsiTheme="minorEastAsia"/>
                <w:kern w:val="0"/>
                <w:sz w:val="24"/>
              </w:rPr>
              <w:t>病床利用率</w:t>
            </w:r>
          </w:p>
        </w:tc>
        <w:tc>
          <w:tcPr>
            <w:tcW w:w="199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4"/>
              </w:rPr>
            </w:pPr>
            <w:r>
              <w:rPr>
                <w:rFonts w:hint="eastAsia" w:asciiTheme="minorEastAsia" w:hAnsiTheme="minorEastAsia"/>
                <w:sz w:val="24"/>
              </w:rPr>
              <w:t>５０．５</w:t>
            </w:r>
          </w:p>
        </w:tc>
        <w:tc>
          <w:tcPr>
            <w:tcW w:w="199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r>
              <w:rPr>
                <w:rFonts w:hint="eastAsia"/>
                <w:sz w:val="24"/>
              </w:rPr>
              <w:t>４０．４</w:t>
            </w:r>
          </w:p>
        </w:tc>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w:t>
            </w:r>
          </w:p>
        </w:tc>
      </w:tr>
      <w:tr>
        <w:trPr>
          <w:trHeight w:val="567" w:hRule="atLeast"/>
        </w:trPr>
        <w:tc>
          <w:tcPr>
            <w:tcW w:w="29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sz w:val="24"/>
              </w:rPr>
            </w:pPr>
            <w:r>
              <w:rPr>
                <w:rFonts w:hint="eastAsia" w:asciiTheme="minorEastAsia" w:hAnsiTheme="minorEastAsia"/>
                <w:sz w:val="24"/>
              </w:rPr>
              <w:t>稼働病床利用率</w:t>
            </w:r>
          </w:p>
        </w:tc>
        <w:tc>
          <w:tcPr>
            <w:tcW w:w="199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4"/>
              </w:rPr>
            </w:pPr>
            <w:r>
              <w:rPr>
                <w:rFonts w:hint="eastAsia" w:asciiTheme="minorEastAsia" w:hAnsiTheme="minorEastAsia"/>
                <w:sz w:val="24"/>
              </w:rPr>
              <w:t>７９．４</w:t>
            </w:r>
          </w:p>
        </w:tc>
        <w:tc>
          <w:tcPr>
            <w:tcW w:w="199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sz w:val="24"/>
              </w:rPr>
            </w:pPr>
            <w:r>
              <w:rPr>
                <w:rFonts w:hint="eastAsia" w:asciiTheme="minorEastAsia" w:hAnsiTheme="minorEastAsia"/>
                <w:sz w:val="24"/>
              </w:rPr>
              <w:t>６３．５</w:t>
            </w:r>
          </w:p>
        </w:tc>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w:t>
            </w:r>
          </w:p>
        </w:tc>
      </w:tr>
      <w:tr>
        <w:trPr>
          <w:trHeight w:val="567" w:hRule="atLeast"/>
        </w:trPr>
        <w:tc>
          <w:tcPr>
            <w:tcW w:w="29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kern w:val="0"/>
                <w:sz w:val="24"/>
              </w:rPr>
            </w:pPr>
            <w:r>
              <w:rPr>
                <w:rFonts w:hint="eastAsia" w:asciiTheme="minorEastAsia" w:hAnsiTheme="minorEastAsia"/>
                <w:kern w:val="0"/>
                <w:sz w:val="24"/>
              </w:rPr>
              <w:t>１日平均</w:t>
            </w:r>
          </w:p>
          <w:p>
            <w:pPr>
              <w:pStyle w:val="0"/>
              <w:jc w:val="distribute"/>
              <w:rPr>
                <w:rFonts w:hint="default" w:asciiTheme="minorEastAsia" w:hAnsiTheme="minorEastAsia"/>
                <w:kern w:val="0"/>
                <w:sz w:val="24"/>
              </w:rPr>
            </w:pPr>
            <w:r>
              <w:rPr>
                <w:rFonts w:hint="eastAsia" w:asciiTheme="minorEastAsia" w:hAnsiTheme="minorEastAsia"/>
                <w:kern w:val="0"/>
                <w:sz w:val="24"/>
              </w:rPr>
              <w:t>入院患者数（人）</w:t>
            </w:r>
          </w:p>
        </w:tc>
        <w:tc>
          <w:tcPr>
            <w:tcW w:w="199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4"/>
              </w:rPr>
            </w:pPr>
            <w:r>
              <w:rPr>
                <w:rFonts w:hint="eastAsia" w:asciiTheme="minorEastAsia" w:hAnsiTheme="minorEastAsia"/>
                <w:sz w:val="24"/>
              </w:rPr>
              <w:t>２７．８</w:t>
            </w:r>
          </w:p>
        </w:tc>
        <w:tc>
          <w:tcPr>
            <w:tcW w:w="199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sz w:val="24"/>
              </w:rPr>
            </w:pPr>
            <w:r>
              <w:rPr>
                <w:rFonts w:hint="eastAsia" w:asciiTheme="minorEastAsia" w:hAnsiTheme="minorEastAsia"/>
                <w:sz w:val="24"/>
              </w:rPr>
              <w:t>２２．２</w:t>
            </w:r>
          </w:p>
        </w:tc>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w:t>
            </w:r>
          </w:p>
        </w:tc>
      </w:tr>
      <w:tr>
        <w:trPr>
          <w:trHeight w:val="567" w:hRule="atLeast"/>
        </w:trPr>
        <w:tc>
          <w:tcPr>
            <w:tcW w:w="29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kern w:val="0"/>
                <w:sz w:val="24"/>
              </w:rPr>
            </w:pPr>
            <w:r>
              <w:rPr>
                <w:rFonts w:hint="eastAsia" w:asciiTheme="minorEastAsia" w:hAnsiTheme="minorEastAsia"/>
                <w:kern w:val="0"/>
                <w:sz w:val="24"/>
              </w:rPr>
              <w:t>１日平均</w:t>
            </w:r>
          </w:p>
          <w:p>
            <w:pPr>
              <w:pStyle w:val="0"/>
              <w:jc w:val="distribute"/>
              <w:rPr>
                <w:rFonts w:hint="default" w:asciiTheme="minorEastAsia" w:hAnsiTheme="minorEastAsia"/>
                <w:kern w:val="0"/>
                <w:sz w:val="24"/>
              </w:rPr>
            </w:pPr>
            <w:r>
              <w:rPr>
                <w:rFonts w:hint="eastAsia" w:asciiTheme="minorEastAsia" w:hAnsiTheme="minorEastAsia"/>
                <w:kern w:val="0"/>
                <w:sz w:val="24"/>
              </w:rPr>
              <w:t>外来患者数（人）</w:t>
            </w:r>
          </w:p>
        </w:tc>
        <w:tc>
          <w:tcPr>
            <w:tcW w:w="199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4"/>
              </w:rPr>
            </w:pPr>
            <w:r>
              <w:rPr>
                <w:rFonts w:hint="eastAsia" w:asciiTheme="minorEastAsia" w:hAnsiTheme="minorEastAsia"/>
                <w:sz w:val="24"/>
              </w:rPr>
              <w:t>５０．４</w:t>
            </w:r>
          </w:p>
        </w:tc>
        <w:tc>
          <w:tcPr>
            <w:tcW w:w="199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sz w:val="24"/>
              </w:rPr>
            </w:pPr>
            <w:r>
              <w:rPr>
                <w:rFonts w:hint="eastAsia" w:asciiTheme="minorEastAsia" w:hAnsiTheme="minorEastAsia"/>
                <w:sz w:val="24"/>
              </w:rPr>
              <w:t>４８．８</w:t>
            </w:r>
          </w:p>
        </w:tc>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w:t>
            </w:r>
          </w:p>
        </w:tc>
      </w:tr>
      <w:tr>
        <w:trPr>
          <w:trHeight w:val="567" w:hRule="atLeast"/>
        </w:trPr>
        <w:tc>
          <w:tcPr>
            <w:tcW w:w="296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kern w:val="0"/>
                <w:sz w:val="24"/>
              </w:rPr>
            </w:pPr>
            <w:r>
              <w:rPr>
                <w:rFonts w:hint="eastAsia" w:asciiTheme="minorEastAsia" w:hAnsiTheme="minorEastAsia"/>
                <w:kern w:val="0"/>
                <w:sz w:val="24"/>
              </w:rPr>
              <w:t>１日一人当たり</w:t>
            </w:r>
          </w:p>
          <w:p>
            <w:pPr>
              <w:pStyle w:val="0"/>
              <w:jc w:val="distribute"/>
              <w:rPr>
                <w:rFonts w:hint="default" w:asciiTheme="minorEastAsia" w:hAnsiTheme="minorEastAsia"/>
                <w:kern w:val="0"/>
                <w:sz w:val="24"/>
              </w:rPr>
            </w:pPr>
            <w:r>
              <w:rPr>
                <w:rFonts w:hint="eastAsia" w:asciiTheme="minorEastAsia" w:hAnsiTheme="minorEastAsia"/>
                <w:kern w:val="0"/>
                <w:sz w:val="24"/>
              </w:rPr>
              <w:t>入院単価（円）</w:t>
            </w:r>
          </w:p>
        </w:tc>
        <w:tc>
          <w:tcPr>
            <w:tcW w:w="199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4"/>
              </w:rPr>
            </w:pPr>
            <w:r>
              <w:rPr>
                <w:rFonts w:hint="eastAsia" w:asciiTheme="minorEastAsia" w:hAnsiTheme="minorEastAsia"/>
                <w:sz w:val="24"/>
              </w:rPr>
              <w:t>３４，０００</w:t>
            </w:r>
          </w:p>
        </w:tc>
        <w:tc>
          <w:tcPr>
            <w:tcW w:w="199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sz w:val="24"/>
              </w:rPr>
            </w:pPr>
            <w:r>
              <w:rPr>
                <w:rFonts w:hint="eastAsia" w:asciiTheme="minorEastAsia" w:hAnsiTheme="minorEastAsia"/>
                <w:sz w:val="24"/>
              </w:rPr>
              <w:t>３４，０５５</w:t>
            </w:r>
          </w:p>
        </w:tc>
        <w:tc>
          <w:tcPr>
            <w:tcW w:w="19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〇</w:t>
            </w:r>
          </w:p>
        </w:tc>
      </w:tr>
      <w:tr>
        <w:trPr>
          <w:trHeight w:val="567" w:hRule="atLeast"/>
        </w:trPr>
        <w:tc>
          <w:tcPr>
            <w:tcW w:w="296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kern w:val="0"/>
                <w:sz w:val="24"/>
              </w:rPr>
            </w:pPr>
            <w:r>
              <w:rPr>
                <w:rFonts w:hint="eastAsia" w:asciiTheme="minorEastAsia" w:hAnsiTheme="minorEastAsia"/>
                <w:kern w:val="0"/>
                <w:sz w:val="24"/>
              </w:rPr>
              <w:t>１日一人当たり</w:t>
            </w:r>
          </w:p>
          <w:p>
            <w:pPr>
              <w:pStyle w:val="0"/>
              <w:jc w:val="distribute"/>
              <w:rPr>
                <w:rFonts w:hint="default" w:asciiTheme="minorEastAsia" w:hAnsiTheme="minorEastAsia"/>
                <w:kern w:val="0"/>
                <w:sz w:val="24"/>
              </w:rPr>
            </w:pPr>
            <w:r>
              <w:rPr>
                <w:rFonts w:hint="eastAsia" w:asciiTheme="minorEastAsia" w:hAnsiTheme="minorEastAsia"/>
                <w:kern w:val="0"/>
                <w:sz w:val="24"/>
              </w:rPr>
              <w:t>外来単価（円）</w:t>
            </w:r>
          </w:p>
        </w:tc>
        <w:tc>
          <w:tcPr>
            <w:tcW w:w="19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asciiTheme="minorEastAsia" w:hAnsiTheme="minorEastAsia"/>
                <w:sz w:val="24"/>
              </w:rPr>
            </w:pPr>
            <w:r>
              <w:rPr>
                <w:rFonts w:hint="eastAsia" w:asciiTheme="minorEastAsia" w:hAnsiTheme="minorEastAsia"/>
                <w:sz w:val="24"/>
              </w:rPr>
              <w:t>１６，０００</w:t>
            </w:r>
          </w:p>
        </w:tc>
        <w:tc>
          <w:tcPr>
            <w:tcW w:w="1995"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sz w:val="24"/>
              </w:rPr>
            </w:pPr>
            <w:r>
              <w:rPr>
                <w:rFonts w:hint="eastAsia" w:asciiTheme="minorEastAsia" w:hAnsiTheme="minorEastAsia"/>
                <w:sz w:val="24"/>
              </w:rPr>
              <w:t>１４，５４４</w:t>
            </w:r>
          </w:p>
        </w:tc>
        <w:tc>
          <w:tcPr>
            <w:tcW w:w="1995"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4"/>
              </w:rPr>
            </w:pPr>
            <w:r>
              <w:rPr>
                <w:rFonts w:hint="eastAsia" w:asciiTheme="minorEastAsia" w:hAnsiTheme="minorEastAsia"/>
                <w:sz w:val="24"/>
              </w:rPr>
              <w:t>×</w:t>
            </w:r>
          </w:p>
        </w:tc>
      </w:tr>
    </w:tbl>
    <w:p>
      <w:pPr>
        <w:pStyle w:val="0"/>
        <w:rPr>
          <w:rFonts w:hint="default" w:asciiTheme="minorEastAsia" w:hAnsiTheme="minorEastAsia"/>
          <w:sz w:val="24"/>
        </w:rPr>
      </w:pPr>
      <w:r>
        <w:rPr>
          <w:rFonts w:hint="eastAsia" w:asciiTheme="minorEastAsia" w:hAnsiTheme="minorEastAsia"/>
          <w:sz w:val="24"/>
        </w:rPr>
        <w:t>　　　　　　　　　　　　　　　　　　　　　　　　　　　　　　　（単位：％）</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※経常収支比率＝（経常収益÷経常経費）×１００　</w:t>
      </w:r>
    </w:p>
    <w:p>
      <w:pPr>
        <w:pStyle w:val="0"/>
        <w:ind w:left="210" w:leftChars="100" w:firstLine="240" w:firstLineChars="100"/>
        <w:rPr>
          <w:rFonts w:hint="default" w:asciiTheme="minorEastAsia" w:hAnsiTheme="minorEastAsia"/>
          <w:sz w:val="24"/>
        </w:rPr>
      </w:pPr>
      <w:r>
        <w:rPr>
          <w:rFonts w:hint="eastAsia" w:asciiTheme="minorEastAsia" w:hAnsiTheme="minorEastAsia"/>
          <w:sz w:val="24"/>
        </w:rPr>
        <w:t>病院が安定した経営を行うための財政基盤を確保するためには、この比率が１００以上であることが望ましい。</w:t>
      </w:r>
    </w:p>
    <w:p>
      <w:pPr>
        <w:pStyle w:val="0"/>
        <w:rPr>
          <w:rFonts w:hint="default" w:asciiTheme="minorEastAsia" w:hAnsiTheme="minorEastAsia"/>
          <w:sz w:val="24"/>
        </w:rPr>
      </w:pPr>
    </w:p>
    <w:p>
      <w:pPr>
        <w:pStyle w:val="0"/>
        <w:rPr>
          <w:rFonts w:hint="default" w:asciiTheme="minorEastAsia" w:hAnsiTheme="minorEastAsia"/>
          <w:sz w:val="24"/>
        </w:rPr>
      </w:pPr>
      <w:r>
        <w:rPr>
          <w:rFonts w:hint="eastAsia" w:asciiTheme="minorEastAsia" w:hAnsiTheme="minorEastAsia"/>
          <w:sz w:val="24"/>
        </w:rPr>
        <w:t>※医業収支比率＝（医業収益÷医業費用）×１００　</w:t>
      </w:r>
    </w:p>
    <w:p>
      <w:pPr>
        <w:pStyle w:val="0"/>
        <w:ind w:left="210" w:leftChars="100" w:firstLine="240" w:firstLineChars="100"/>
        <w:rPr>
          <w:rFonts w:hint="default" w:asciiTheme="minorEastAsia" w:hAnsiTheme="minorEastAsia"/>
          <w:sz w:val="24"/>
        </w:rPr>
      </w:pPr>
      <w:r>
        <w:rPr>
          <w:rFonts w:hint="eastAsia" w:asciiTheme="minorEastAsia" w:hAnsiTheme="minorEastAsia"/>
          <w:sz w:val="24"/>
        </w:rPr>
        <w:t>医業費用が医業収益によってどの程度賄われているか、また、どの程度の収益率をあげているかを示す指標で、この比率が１００以上であることが望ましい。</w:t>
      </w:r>
    </w:p>
    <w:p>
      <w:pPr>
        <w:pStyle w:val="0"/>
        <w:ind w:left="240" w:hanging="240" w:hangingChars="100"/>
        <w:rPr>
          <w:rFonts w:hint="default" w:asciiTheme="minorEastAsia" w:hAnsiTheme="minorEastAsia"/>
          <w:color w:val="FF0000"/>
          <w:sz w:val="24"/>
        </w:rPr>
      </w:pPr>
    </w:p>
    <w:p>
      <w:pPr>
        <w:pStyle w:val="0"/>
        <w:ind w:left="240" w:hanging="240" w:hangingChars="100"/>
        <w:rPr>
          <w:rFonts w:hint="default" w:asciiTheme="minorEastAsia" w:hAnsiTheme="minorEastAsia"/>
          <w:sz w:val="24"/>
        </w:rPr>
      </w:pPr>
      <w:r>
        <w:rPr>
          <w:rFonts w:hint="eastAsia" w:asciiTheme="minorEastAsia" w:hAnsiTheme="minorEastAsia"/>
          <w:sz w:val="24"/>
        </w:rPr>
        <w:t>※職員給与比率＝（職員給与費÷医業収益）×１００　</w:t>
      </w:r>
    </w:p>
    <w:p>
      <w:pPr>
        <w:pStyle w:val="0"/>
        <w:ind w:left="210" w:leftChars="100" w:firstLine="240" w:firstLineChars="100"/>
        <w:rPr>
          <w:rFonts w:hint="default" w:asciiTheme="minorEastAsia" w:hAnsiTheme="minorEastAsia"/>
          <w:sz w:val="24"/>
        </w:rPr>
      </w:pPr>
      <w:r>
        <w:rPr>
          <w:rFonts w:hint="eastAsia" w:asciiTheme="minorEastAsia" w:hAnsiTheme="minorEastAsia"/>
          <w:sz w:val="24"/>
        </w:rPr>
        <w:t>職員給与費の分析上でもっともよく用いられる指標の一つです。この比率が高いほど固定費の割合が高くなり、財政硬直化の原因となります。</w:t>
      </w:r>
    </w:p>
    <w:p>
      <w:pPr>
        <w:pStyle w:val="0"/>
        <w:ind w:left="240" w:hanging="240" w:hangingChars="100"/>
        <w:rPr>
          <w:rFonts w:hint="default" w:asciiTheme="minorEastAsia" w:hAnsiTheme="minorEastAsia"/>
          <w:sz w:val="24"/>
        </w:rPr>
      </w:pPr>
      <w:r>
        <w:rPr>
          <w:rFonts w:hint="eastAsia" w:asciiTheme="minorEastAsia" w:hAnsiTheme="minorEastAsia"/>
          <w:sz w:val="24"/>
        </w:rPr>
        <w:t>※病床利用率＝（年延入院患者数÷年延許可病床数）×１００　</w:t>
      </w:r>
    </w:p>
    <w:p>
      <w:pPr>
        <w:pStyle w:val="0"/>
        <w:ind w:left="210" w:leftChars="100" w:firstLine="0" w:firstLineChars="0"/>
        <w:rPr>
          <w:rFonts w:hint="default" w:asciiTheme="minorEastAsia" w:hAnsiTheme="minorEastAsia"/>
          <w:sz w:val="24"/>
        </w:rPr>
      </w:pPr>
      <w:r>
        <w:rPr>
          <w:rFonts w:hint="eastAsia" w:asciiTheme="minorEastAsia" w:hAnsiTheme="minorEastAsia"/>
          <w:sz w:val="24"/>
        </w:rPr>
        <w:t>　病院施設が有効に活用されているかどうかを判断する指標です。収益に関する分析上で、きわめて重要な指標です。</w:t>
      </w:r>
    </w:p>
    <w:p>
      <w:pPr>
        <w:pStyle w:val="0"/>
        <w:rPr>
          <w:rFonts w:hint="default" w:asciiTheme="minorEastAsia" w:hAnsiTheme="minorEastAsia"/>
          <w:sz w:val="24"/>
        </w:rPr>
      </w:pPr>
    </w:p>
    <w:p>
      <w:pPr>
        <w:pStyle w:val="0"/>
        <w:jc w:val="center"/>
        <w:rPr>
          <w:rFonts w:hint="default" w:asciiTheme="majorEastAsia" w:hAnsiTheme="majorEastAsia" w:eastAsiaTheme="majorEastAsia"/>
          <w:sz w:val="28"/>
        </w:rPr>
      </w:pPr>
      <w:r>
        <w:rPr>
          <w:rFonts w:hint="eastAsia" w:asciiTheme="majorEastAsia" w:hAnsiTheme="majorEastAsia" w:eastAsiaTheme="majorEastAsia"/>
          <w:sz w:val="28"/>
        </w:rPr>
        <w:t>３　数値目標達成に向けての取り組み</w:t>
      </w:r>
    </w:p>
    <w:p>
      <w:pPr>
        <w:pStyle w:val="0"/>
        <w:ind w:left="480" w:hanging="480" w:hangingChars="200"/>
        <w:rPr>
          <w:rFonts w:hint="default" w:asciiTheme="minorEastAsia" w:hAnsiTheme="minorEastAsia"/>
          <w:sz w:val="24"/>
        </w:rPr>
      </w:pPr>
      <w:r>
        <w:rPr>
          <w:rFonts w:hint="eastAsia" w:asciiTheme="minorEastAsia" w:hAnsiTheme="minorEastAsia"/>
          <w:sz w:val="24"/>
        </w:rPr>
        <w:t>（１）新型コロナウイルス感染症の感染症法上５類への移行により、コロナ患者受け入れのための病床の確保、休日夜間の検査体制の整備を行うとともに、発熱外来を継続し、安心・安全な診療体制の確保に努めました。</w:t>
      </w:r>
    </w:p>
    <w:p>
      <w:pPr>
        <w:pStyle w:val="0"/>
        <w:ind w:left="480" w:hanging="480" w:hangingChars="200"/>
        <w:rPr>
          <w:rFonts w:hint="default" w:asciiTheme="minorEastAsia" w:hAnsiTheme="minorEastAsia"/>
          <w:sz w:val="24"/>
        </w:rPr>
      </w:pPr>
      <w:r>
        <w:rPr>
          <w:rFonts w:hint="eastAsia" w:asciiTheme="minorEastAsia" w:hAnsiTheme="minorEastAsia"/>
          <w:sz w:val="24"/>
        </w:rPr>
        <w:t>（２）住民が住み慣れた地域で安心して暮らすことができるよう、引き続き訪問診療、訪問看護及び患者無料送迎サービスを行い、外来患者の確保及び在宅医療の充実に努めました。</w:t>
      </w:r>
    </w:p>
    <w:p>
      <w:pPr>
        <w:pStyle w:val="0"/>
        <w:ind w:left="480" w:hanging="480" w:hangingChars="200"/>
        <w:rPr>
          <w:rFonts w:hint="default" w:asciiTheme="minorEastAsia" w:hAnsiTheme="minorEastAsia"/>
          <w:sz w:val="24"/>
        </w:rPr>
      </w:pPr>
      <w:r>
        <w:rPr>
          <w:rFonts w:hint="eastAsia" w:asciiTheme="minorEastAsia" w:hAnsiTheme="minorEastAsia"/>
          <w:sz w:val="24"/>
        </w:rPr>
        <w:t>（３）地域連携室を中心に、地域の医療機関や介護施設をはじめ、福祉やケアマネ等と連携することにより、患者のスムーズな入退院調整に努めました。</w:t>
      </w:r>
    </w:p>
    <w:p>
      <w:pPr>
        <w:pStyle w:val="0"/>
        <w:ind w:left="480" w:hanging="480" w:hangingChars="200"/>
        <w:rPr>
          <w:rFonts w:hint="default" w:asciiTheme="minorEastAsia" w:hAnsiTheme="minorEastAsia"/>
          <w:sz w:val="24"/>
        </w:rPr>
      </w:pPr>
      <w:r>
        <w:rPr>
          <w:rFonts w:hint="eastAsia" w:asciiTheme="minorEastAsia" w:hAnsiTheme="minorEastAsia"/>
          <w:sz w:val="24"/>
        </w:rPr>
        <w:t>（４）たつの市民病院と医師の相互派遣を行い、診療連携を図りました。</w:t>
      </w:r>
    </w:p>
    <w:p>
      <w:pPr>
        <w:pStyle w:val="0"/>
        <w:ind w:left="480" w:hanging="480" w:hangingChars="200"/>
        <w:rPr>
          <w:rFonts w:hint="default" w:asciiTheme="minorEastAsia" w:hAnsiTheme="minorEastAsia"/>
          <w:sz w:val="24"/>
        </w:rPr>
      </w:pPr>
      <w:r>
        <w:rPr>
          <w:rFonts w:hint="eastAsia" w:asciiTheme="minorEastAsia" w:hAnsiTheme="minorEastAsia"/>
          <w:sz w:val="24"/>
        </w:rPr>
        <w:t>（５）内科専門の医師（非常勤）を確保するとともに、市内に不足する婦人科を開設し、患者サービスの向上を図りました。</w:t>
      </w:r>
    </w:p>
    <w:p>
      <w:pPr>
        <w:pStyle w:val="0"/>
        <w:ind w:left="480" w:hanging="480" w:hangingChars="200"/>
        <w:rPr>
          <w:rFonts w:hint="default" w:asciiTheme="minorEastAsia" w:hAnsiTheme="minorEastAsia"/>
          <w:sz w:val="24"/>
        </w:rPr>
      </w:pPr>
      <w:r>
        <w:rPr>
          <w:rFonts w:hint="eastAsia" w:asciiTheme="minorEastAsia" w:hAnsiTheme="minorEastAsia"/>
          <w:sz w:val="24"/>
        </w:rPr>
        <w:t>（６）老朽化する空調設備について、設計業務を行い更新工事に着手しました。</w:t>
      </w:r>
    </w:p>
    <w:p>
      <w:pPr>
        <w:pStyle w:val="0"/>
        <w:ind w:left="480" w:hanging="480" w:hangingChars="200"/>
        <w:rPr>
          <w:rFonts w:hint="default" w:asciiTheme="minorEastAsia" w:hAnsiTheme="minorEastAsia"/>
          <w:sz w:val="24"/>
        </w:rPr>
      </w:pPr>
      <w:r>
        <w:rPr>
          <w:rFonts w:hint="eastAsia" w:asciiTheme="minorEastAsia" w:hAnsiTheme="minorEastAsia"/>
          <w:sz w:val="24"/>
        </w:rPr>
        <w:t>（７）持続可能な地域医療提供体制を確保するため相生市民病院経営強化プランを策定しました。</w:t>
      </w:r>
    </w:p>
    <w:p>
      <w:pPr>
        <w:pStyle w:val="0"/>
        <w:jc w:val="center"/>
        <w:rPr>
          <w:rFonts w:hint="default" w:asciiTheme="majorEastAsia" w:hAnsiTheme="majorEastAsia" w:eastAsiaTheme="majorEastAsia"/>
          <w:sz w:val="28"/>
        </w:rPr>
      </w:pPr>
      <w:r>
        <w:rPr>
          <w:rFonts w:hint="eastAsia" w:asciiTheme="majorEastAsia" w:hAnsiTheme="majorEastAsia" w:eastAsiaTheme="majorEastAsia"/>
          <w:sz w:val="28"/>
        </w:rPr>
        <w:t>４　委員による評価</w:t>
      </w:r>
    </w:p>
    <w:p>
      <w:pPr>
        <w:pStyle w:val="0"/>
        <w:rPr>
          <w:rFonts w:hint="default" w:asciiTheme="minorEastAsia" w:hAnsiTheme="minorEastAsia"/>
          <w:sz w:val="24"/>
          <w:highlight w:val="yellow"/>
        </w:rPr>
      </w:pPr>
      <w:r>
        <w:rPr>
          <w:rFonts w:hint="eastAsia" w:asciiTheme="minorEastAsia" w:hAnsiTheme="minorEastAsia"/>
          <w:sz w:val="24"/>
        </w:rPr>
        <w:t>　</w:t>
      </w:r>
      <w:r>
        <w:rPr>
          <w:rFonts w:hint="eastAsia" w:asciiTheme="minorEastAsia" w:hAnsiTheme="minorEastAsia"/>
          <w:sz w:val="24"/>
          <w:highlight w:val="none"/>
        </w:rPr>
        <w:t>新型コロナウイルス感染症が感染症法上第５類に移行し、コロナ患者にも対応しながら、コロナ禍前の患者の確保を目指したが、令和５年度は赤字補填のため、一般会計から追加で４</w:t>
      </w:r>
      <w:r>
        <w:rPr>
          <w:rFonts w:hint="eastAsia" w:asciiTheme="minorEastAsia" w:hAnsiTheme="minorEastAsia"/>
          <w:sz w:val="24"/>
          <w:highlight w:val="none"/>
        </w:rPr>
        <w:t>,</w:t>
      </w:r>
      <w:r>
        <w:rPr>
          <w:rFonts w:hint="eastAsia" w:asciiTheme="minorEastAsia" w:hAnsiTheme="minorEastAsia"/>
          <w:sz w:val="24"/>
          <w:highlight w:val="none"/>
        </w:rPr>
        <w:t>７００万円を繰入れたところである。市民病院の果たすべき役割を再認識し、地域の医療機関等と連携を密にしながら患者に寄り添った医療を提供するとともに、安定した経営に努めてほしいとの評価を受けました。また、委員からは次のような意見が付帯して出されました。</w:t>
      </w:r>
    </w:p>
    <w:p>
      <w:pPr>
        <w:pStyle w:val="0"/>
        <w:rPr>
          <w:rFonts w:hint="default" w:asciiTheme="minorEastAsia" w:hAnsiTheme="minorEastAsia"/>
          <w:sz w:val="24"/>
        </w:rPr>
      </w:pPr>
    </w:p>
    <w:p>
      <w:pPr>
        <w:pStyle w:val="0"/>
        <w:ind w:left="480" w:hanging="480" w:hangingChars="200"/>
        <w:rPr>
          <w:rFonts w:hint="default" w:asciiTheme="minorEastAsia" w:hAnsiTheme="minorEastAsia"/>
          <w:sz w:val="24"/>
        </w:rPr>
      </w:pPr>
      <w:r>
        <w:rPr>
          <w:rFonts w:hint="eastAsia" w:asciiTheme="minorEastAsia" w:hAnsiTheme="minorEastAsia"/>
          <w:sz w:val="24"/>
        </w:rPr>
        <w:t>（１）常勤医師３名体制に向けた内科医師及び看護師の確保により安定的な医療提供体制を確立すること。</w:t>
      </w:r>
    </w:p>
    <w:p>
      <w:pPr>
        <w:pStyle w:val="0"/>
        <w:ind w:left="480" w:hanging="480" w:hangingChars="200"/>
        <w:rPr>
          <w:rFonts w:hint="default" w:asciiTheme="minorEastAsia" w:hAnsiTheme="minorEastAsia"/>
          <w:sz w:val="24"/>
          <w:highlight w:val="none"/>
        </w:rPr>
      </w:pPr>
      <w:r>
        <w:rPr>
          <w:rFonts w:hint="eastAsia" w:asciiTheme="minorEastAsia" w:hAnsiTheme="minorEastAsia"/>
          <w:sz w:val="24"/>
        </w:rPr>
        <w:t>（</w:t>
      </w:r>
      <w:r>
        <w:rPr>
          <w:rFonts w:hint="eastAsia" w:asciiTheme="minorEastAsia" w:hAnsiTheme="minorEastAsia"/>
          <w:sz w:val="24"/>
          <w:highlight w:val="none"/>
        </w:rPr>
        <w:t>２）地域連携室を中心に他病院や地域の診療所、介護施設、ケアマネ等と連携を図ることで、入院患者を確保すること。</w:t>
      </w:r>
    </w:p>
    <w:p>
      <w:pPr>
        <w:pStyle w:val="0"/>
        <w:ind w:left="480" w:hanging="480" w:hangingChars="200"/>
        <w:rPr>
          <w:rFonts w:hint="default" w:asciiTheme="minorEastAsia" w:hAnsiTheme="minorEastAsia"/>
          <w:sz w:val="24"/>
          <w:highlight w:val="none"/>
        </w:rPr>
      </w:pPr>
      <w:r>
        <w:rPr>
          <w:rFonts w:hint="eastAsia" w:asciiTheme="minorEastAsia" w:hAnsiTheme="minorEastAsia"/>
          <w:sz w:val="24"/>
          <w:highlight w:val="none"/>
        </w:rPr>
        <w:t>（３）患者やご家族の気持ちに寄り添った医療サービスの提供に努めること。</w:t>
      </w:r>
    </w:p>
    <w:p>
      <w:pPr>
        <w:pStyle w:val="0"/>
        <w:ind w:left="480" w:hanging="480" w:hangingChars="200"/>
        <w:rPr>
          <w:rFonts w:hint="default" w:asciiTheme="minorEastAsia" w:hAnsiTheme="minorEastAsia"/>
          <w:sz w:val="24"/>
          <w:highlight w:val="none"/>
        </w:rPr>
      </w:pPr>
      <w:r>
        <w:rPr>
          <w:rFonts w:hint="eastAsia" w:asciiTheme="minorEastAsia" w:hAnsiTheme="minorEastAsia"/>
          <w:sz w:val="24"/>
          <w:highlight w:val="none"/>
        </w:rPr>
        <w:t>（４）患者が安心して利用できるよう、空調設備の更新工事を進めること。</w:t>
      </w:r>
    </w:p>
    <w:p>
      <w:pPr>
        <w:pStyle w:val="0"/>
        <w:ind w:left="0" w:leftChars="0" w:hanging="480" w:hangingChars="200"/>
        <w:rPr>
          <w:rFonts w:hint="default" w:asciiTheme="minorEastAsia" w:hAnsiTheme="minorEastAsia"/>
          <w:sz w:val="24"/>
        </w:rPr>
      </w:pPr>
      <w:r>
        <w:rPr>
          <w:rFonts w:hint="eastAsia" w:asciiTheme="minorEastAsia" w:hAnsiTheme="minorEastAsia"/>
          <w:sz w:val="24"/>
        </w:rPr>
        <w:t>（５）赤字経営が常態化しないよう、経営強化プランの取り組みにより、持続可能で安定した病院経営に努めること。</w:t>
      </w:r>
      <w:bookmarkStart w:id="0" w:name="_GoBack"/>
      <w:bookmarkEnd w:id="0"/>
    </w:p>
    <w:p>
      <w:pPr>
        <w:pStyle w:val="0"/>
        <w:rPr>
          <w:rFonts w:hint="eastAsia" w:asciiTheme="minorEastAsia" w:hAnsiTheme="minorEastAsia"/>
          <w:sz w:val="24"/>
        </w:rPr>
      </w:pPr>
    </w:p>
    <w:sectPr>
      <w:headerReference r:id="rId6" w:type="default"/>
      <w:footerReference r:id="rId8" w:type="default"/>
      <w:headerReference r:id="rId5" w:type="first"/>
      <w:footerReference r:id="rId7" w:type="first"/>
      <w:pgSz w:w="11906" w:h="16838"/>
      <w:pgMar w:top="1417" w:right="1701" w:bottom="1417" w:left="1701" w:header="851" w:footer="992" w:gutter="0"/>
      <w:pgNumType w:start="2"/>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P創英角ｺﾞｼｯｸUB">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tabs>
            <w:tab w:val="left" w:leader="none" w:pos="350"/>
          </w:tabs>
          <w:rPr>
            <w:rFonts w:hint="default"/>
          </w:rPr>
        </w:pPr>
      </w:p>
    </w:sdtContent>
  </w:sdt>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p>
    </w:sdtContent>
  </w:sdt>
  <w:p>
    <w:pPr>
      <w:pStyle w:val="0"/>
      <w:jc w:val="center"/>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firstLine="3600" w:firstLineChars="1500"/>
      <w:jc w:val="right"/>
      <w:rPr>
        <w:rFonts w:hint="default"/>
        <w:sz w:val="24"/>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character" w:styleId="24">
    <w:name w:val="page number"/>
    <w:basedOn w:val="10"/>
    <w:next w:val="24"/>
    <w:link w:val="0"/>
    <w:uiPriority w:val="0"/>
  </w:style>
  <w:style w:type="table" w:styleId="25">
    <w:name w:val="Table Grid"/>
    <w:basedOn w:val="11"/>
    <w:next w:val="25"/>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2590</TotalTime>
  <Pages>3</Pages>
  <Words>1</Words>
  <Characters>2105</Characters>
  <Application>JUST Note</Application>
  <Lines>128</Lines>
  <Paragraphs>84</Paragraphs>
  <Company> </Company>
  <CharactersWithSpaces>2154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後藤 卓</dc:creator>
  <cp:lastModifiedBy>番匠 真由美</cp:lastModifiedBy>
  <cp:lastPrinted>2025-01-24T02:13:32Z</cp:lastPrinted>
  <dcterms:created xsi:type="dcterms:W3CDTF">2017-10-16T04:32:00Z</dcterms:created>
  <dcterms:modified xsi:type="dcterms:W3CDTF">2025-02-14T01:08:58Z</dcterms:modified>
  <cp:revision>28</cp:revision>
</cp:coreProperties>
</file>