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-371475</wp:posOffset>
                </wp:positionV>
                <wp:extent cx="4951095" cy="48514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95109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  <w:u w:val="double" w:color="auto"/>
                              </w:rPr>
                              <w:t>「ごみステーションの新設（移設）条件について」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9.25pt;mso-position-vertical-relative:text;mso-position-horizontal-relative:text;position:absolute;height:38.200000000000003pt;mso-wrap-distance-top:0pt;width:389.85pt;mso-wrap-distance-left:16pt;margin-left:-9.1pt;z-index:11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  <w:u w:val="double" w:color="auto"/>
                        </w:rPr>
                        <w:t>「ごみステーションの新設（移設）条件について」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57150</wp:posOffset>
                </wp:positionV>
                <wp:extent cx="6245860" cy="132143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24586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</w:rPr>
                              <w:t>☆新設（移設）計画段階に、環境課及び美化センターと協議を行って下さい。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</w:rPr>
                              <w:t>１　既存ごみステーションの活用を充分に検討して下さい。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</w:rPr>
                              <w:t>２　新設については以下の①～⑩を満たして下さい。なお、基準を満たして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ind w:firstLine="560" w:firstLineChars="20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</w:rPr>
                              <w:t>いない場合、新設を認めることはできません。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  <w:u w:val="none" w:color="auto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pt;mso-position-vertical-relative:text;mso-position-horizontal-relative:text;position:absolute;height:104.05pt;mso-wrap-distance-top:0pt;width:491.8pt;mso-wrap-distance-left:16pt;margin-left:-32.65pt;z-index:12;" o:spid="_x0000_s1027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500" w:lineRule="exact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</w:rPr>
                        <w:t>☆新設（移設）計画段階に、環境課及び美化センターと協議を行って下さい。</w:t>
                      </w:r>
                    </w:p>
                    <w:p>
                      <w:pPr>
                        <w:pStyle w:val="0"/>
                        <w:spacing w:line="500" w:lineRule="exact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</w:rPr>
                        <w:t>１　既存ごみステーションの活用を充分に検討して下さい。</w:t>
                      </w:r>
                    </w:p>
                    <w:p>
                      <w:pPr>
                        <w:pStyle w:val="0"/>
                        <w:spacing w:line="500" w:lineRule="exact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</w:rPr>
                        <w:t>２　新設については以下の①～⑩を満たして下さい。なお、基準を満たして</w:t>
                      </w:r>
                    </w:p>
                    <w:p>
                      <w:pPr>
                        <w:pStyle w:val="0"/>
                        <w:spacing w:line="500" w:lineRule="exact"/>
                        <w:ind w:firstLine="560" w:firstLineChars="20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</w:rPr>
                        <w:t>いない場合、新設を認めることはできません。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  <w:u w:val="none" w:color="aut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500" w:lineRule="exact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226695</wp:posOffset>
                </wp:positionV>
                <wp:extent cx="753110" cy="23749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753110" cy="23749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チェック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right:16pt;mso-wrap-distance-bottom:0pt;margin-top:17.850000000000001pt;mso-position-vertical-relative:text;mso-position-horizontal-relative:text;position:absolute;height:18.7pt;mso-wrap-distance-top:0pt;width:59.3pt;mso-wrap-distance-left:16pt;margin-left:428.5pt;z-index:14;" o:allowincell="t" o:allowoverlap="t" filled="t" fillcolor="#ffffff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チェック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spacing w:line="440" w:lineRule="exact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74930</wp:posOffset>
                </wp:positionV>
                <wp:extent cx="361950" cy="3619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9pt;mso-position-vertical-relative:text;mso-position-horizontal-relative:text;position:absolute;height:28.5pt;mso-wrap-distance-top:0pt;width:28.5pt;mso-wrap-distance-left:16pt;margin-left:442pt;z-index:10;" o:spid="_x0000_s1029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</w:rPr>
        <w:t>①新設ごみステーションは、</w:t>
      </w:r>
      <w:r>
        <w:rPr>
          <w:rFonts w:hint="eastAsia" w:ascii="HG丸ｺﾞｼｯｸM-PRO" w:hAnsi="HG丸ｺﾞｼｯｸM-PRO" w:eastAsia="HG丸ｺﾞｼｯｸM-PRO"/>
          <w:b w:val="1"/>
          <w:sz w:val="26"/>
          <w:u w:val="single" w:color="auto"/>
        </w:rPr>
        <w:t>１０軒以上</w:t>
      </w:r>
      <w:r>
        <w:rPr>
          <w:rFonts w:hint="eastAsia" w:ascii="HG丸ｺﾞｼｯｸM-PRO" w:hAnsi="HG丸ｺﾞｼｯｸM-PRO" w:eastAsia="HG丸ｺﾞｼｯｸM-PRO"/>
          <w:sz w:val="26"/>
        </w:rPr>
        <w:t>で使用するものであること。</w:t>
      </w:r>
    </w:p>
    <w:p>
      <w:pPr>
        <w:pStyle w:val="0"/>
        <w:spacing w:line="440" w:lineRule="exact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spacing w:line="44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63500</wp:posOffset>
                </wp:positionV>
                <wp:extent cx="361950" cy="3619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pt;mso-position-vertical-relative:text;mso-position-horizontal-relative:text;position:absolute;height:28.5pt;mso-wrap-distance-top:0pt;width:28.5pt;mso-wrap-distance-left:16pt;margin-left:442pt;z-index:2;" o:spid="_x0000_s1030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</w:rPr>
        <w:t>②ごみステーション設置に関し、土地所有者、管理者及び近隣住民の承諾</w:t>
      </w:r>
    </w:p>
    <w:p>
      <w:pPr>
        <w:pStyle w:val="0"/>
        <w:spacing w:line="44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　を必ず得ていること。</w:t>
      </w:r>
    </w:p>
    <w:p>
      <w:pPr>
        <w:pStyle w:val="0"/>
        <w:spacing w:line="440" w:lineRule="exact"/>
        <w:ind w:left="0" w:leftChars="0" w:firstLine="21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また、法令等により規制がある場所については、所管課と協議を行い、</w:t>
      </w:r>
    </w:p>
    <w:p>
      <w:pPr>
        <w:pStyle w:val="0"/>
        <w:spacing w:line="440" w:lineRule="exact"/>
        <w:ind w:left="0" w:leftChars="0" w:firstLine="26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許可等を得ていること。</w:t>
      </w:r>
    </w:p>
    <w:p>
      <w:pPr>
        <w:pStyle w:val="0"/>
        <w:spacing w:line="440" w:lineRule="exact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spacing w:line="44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63500</wp:posOffset>
                </wp:positionV>
                <wp:extent cx="361950" cy="3619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pt;mso-position-vertical-relative:text;mso-position-horizontal-relative:text;position:absolute;height:28.5pt;mso-wrap-distance-top:0pt;width:28.5pt;mso-wrap-distance-left:16pt;margin-left:443.3pt;z-index:3;" o:spid="_x0000_s1031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</w:rPr>
        <w:t>③収集に際し、私道を通行せざるを得ない場合は、設置者等地区において</w:t>
      </w:r>
    </w:p>
    <w:p>
      <w:pPr>
        <w:pStyle w:val="0"/>
        <w:spacing w:line="440" w:lineRule="exact"/>
        <w:ind w:left="0" w:leftChars="0" w:firstLine="26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承諾を得ること。</w:t>
      </w:r>
    </w:p>
    <w:p>
      <w:pPr>
        <w:pStyle w:val="0"/>
        <w:spacing w:line="440" w:lineRule="exact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spacing w:line="4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81280</wp:posOffset>
                </wp:positionV>
                <wp:extent cx="361950" cy="36195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.4pt;mso-position-vertical-relative:text;mso-position-horizontal-relative:text;position:absolute;height:28.5pt;mso-wrap-distance-top:0pt;width:28.5pt;mso-wrap-distance-left:16pt;margin-left:443.3pt;z-index:4;" o:spid="_x0000_s1032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</w:rPr>
        <w:t>④収集車が</w:t>
      </w:r>
      <w:r>
        <w:rPr>
          <w:rFonts w:hint="eastAsia" w:ascii="HG丸ｺﾞｼｯｸM-PRO" w:hAnsi="HG丸ｺﾞｼｯｸM-PRO" w:eastAsia="HG丸ｺﾞｼｯｸM-PRO"/>
          <w:sz w:val="26"/>
          <w:u w:val="none" w:color="auto"/>
        </w:rPr>
        <w:t>容易</w:t>
      </w:r>
      <w:r>
        <w:rPr>
          <w:rFonts w:hint="eastAsia" w:ascii="HG丸ｺﾞｼｯｸM-PRO" w:hAnsi="HG丸ｺﾞｼｯｸM-PRO" w:eastAsia="HG丸ｺﾞｼｯｸM-PRO"/>
          <w:sz w:val="26"/>
        </w:rPr>
        <w:t>に通行できる道路に面していること。</w:t>
      </w:r>
    </w:p>
    <w:p>
      <w:pPr>
        <w:pStyle w:val="0"/>
        <w:spacing w:line="440" w:lineRule="exact"/>
        <w:ind w:left="0" w:leftChars="0" w:firstLine="26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また、可能な限り対面通行が出来る場所とすること。</w:t>
      </w:r>
    </w:p>
    <w:p>
      <w:pPr>
        <w:pStyle w:val="0"/>
        <w:spacing w:line="440" w:lineRule="exact"/>
        <w:ind w:firstLine="26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　</w:t>
      </w:r>
    </w:p>
    <w:p>
      <w:pPr>
        <w:pStyle w:val="0"/>
        <w:spacing w:line="4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64770</wp:posOffset>
                </wp:positionV>
                <wp:extent cx="361950" cy="3619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9pt;mso-position-vertical-relative:text;mso-position-horizontal-relative:text;position:absolute;height:28.5pt;mso-wrap-distance-top:0pt;width:28.5pt;mso-wrap-distance-left:16pt;margin-left:443.3pt;z-index:5;" o:spid="_x0000_s1033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</w:rPr>
        <w:t>⑤収集車が容易に停車でき、収集中は収集車が近隣住民や通行者の妨げ</w:t>
      </w:r>
    </w:p>
    <w:p>
      <w:pPr>
        <w:pStyle w:val="0"/>
        <w:spacing w:line="440" w:lineRule="exact"/>
        <w:ind w:left="0" w:leftChars="0" w:firstLine="26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とならない場所とすること。</w:t>
      </w:r>
    </w:p>
    <w:p>
      <w:pPr>
        <w:pStyle w:val="0"/>
        <w:spacing w:line="440" w:lineRule="exact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spacing w:line="4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63500</wp:posOffset>
                </wp:positionV>
                <wp:extent cx="361950" cy="36195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pt;mso-position-vertical-relative:text;mso-position-horizontal-relative:text;position:absolute;height:28.5pt;mso-wrap-distance-top:0pt;width:28.5pt;mso-wrap-distance-left:16pt;margin-left:443.3pt;z-index:6;" o:spid="_x0000_s1034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</w:rPr>
        <w:t>⑥収集車が、バック、切り返しなどを行わずに収集し、収集後は無理なく</w:t>
      </w:r>
    </w:p>
    <w:p>
      <w:pPr>
        <w:pStyle w:val="0"/>
        <w:spacing w:line="440" w:lineRule="exact"/>
        <w:ind w:left="0" w:leftChars="0" w:firstLine="26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通り抜けることが出来る場所であること。</w:t>
      </w:r>
    </w:p>
    <w:p>
      <w:pPr>
        <w:pStyle w:val="0"/>
        <w:spacing w:line="4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spacing w:line="44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63500</wp:posOffset>
                </wp:positionV>
                <wp:extent cx="361950" cy="36195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pt;mso-position-vertical-relative:text;mso-position-horizontal-relative:text;position:absolute;height:28.5pt;mso-wrap-distance-top:0pt;width:28.5pt;mso-wrap-distance-left:16pt;margin-left:443.3pt;z-index:7;" o:spid="_x0000_s1035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</w:rPr>
        <w:t>⑦急勾配、急カーブ、植え込みなど見通しの悪い場所は避けること。</w:t>
      </w:r>
    </w:p>
    <w:p>
      <w:pPr>
        <w:pStyle w:val="0"/>
        <w:spacing w:line="44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</w:p>
    <w:p>
      <w:pPr>
        <w:pStyle w:val="0"/>
        <w:spacing w:line="44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64770</wp:posOffset>
                </wp:positionV>
                <wp:extent cx="361950" cy="3619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9pt;mso-position-vertical-relative:text;mso-position-horizontal-relative:text;position:absolute;height:28.5pt;mso-wrap-distance-top:0pt;width:28.5pt;mso-wrap-distance-left:16pt;margin-left:443.3pt;z-index:8;" o:spid="_x0000_s103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</w:rPr>
        <w:t>⑧道路交通法上の停車禁止、通行禁止区域等制限がある場所は避けること。</w:t>
      </w:r>
    </w:p>
    <w:p>
      <w:pPr>
        <w:pStyle w:val="0"/>
        <w:spacing w:line="440" w:lineRule="exact"/>
        <w:ind w:left="0" w:leftChars="0" w:firstLine="260" w:firstLineChars="100"/>
        <w:rPr>
          <w:rFonts w:hint="eastAsia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　</w:t>
      </w:r>
    </w:p>
    <w:p>
      <w:pPr>
        <w:pStyle w:val="0"/>
        <w:spacing w:line="44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b w:val="1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64770</wp:posOffset>
                </wp:positionV>
                <wp:extent cx="361950" cy="361950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5.09pt;mso-position-vertical-relative:text;mso-position-horizontal-relative:text;position:absolute;height:28.5pt;mso-wrap-distance-top:0pt;width:28.5pt;mso-wrap-distance-left:16pt;margin-left:443.3pt;z-index:9;" o:spid="_x0000_s1037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6"/>
        </w:rPr>
        <w:t>⑨消火栓、交差点、横断歩道、バス停などの周辺は避けること。</w:t>
      </w:r>
    </w:p>
    <w:p>
      <w:pPr>
        <w:pStyle w:val="0"/>
        <w:spacing w:line="44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b w:val="1"/>
          <w:sz w:val="26"/>
        </w:rPr>
      </w:pPr>
    </w:p>
    <w:p>
      <w:pPr>
        <w:pStyle w:val="0"/>
        <w:spacing w:line="44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b w:val="0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81915</wp:posOffset>
                </wp:positionV>
                <wp:extent cx="361950" cy="36195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.45pt;mso-position-vertical-relative:text;mso-position-horizontal-relative:text;position:absolute;height:28.5pt;mso-wrap-distance-top:0pt;width:28.5pt;mso-wrap-distance-left:16pt;margin-left:443.3pt;z-index:13;" o:spid="_x0000_s1038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0"/>
          <w:sz w:val="26"/>
        </w:rPr>
        <w:t>⑩設置者等地区において、清掃など適正管理に努めることができること。</w:t>
      </w:r>
    </w:p>
    <w:p>
      <w:pPr>
        <w:pStyle w:val="0"/>
        <w:spacing w:line="440" w:lineRule="exact"/>
        <w:ind w:left="0" w:leftChars="0" w:firstLine="0" w:firstLineChars="0"/>
        <w:rPr>
          <w:rFonts w:hint="eastAsia" w:ascii="HG丸ｺﾞｼｯｸM-PRO" w:hAnsi="HG丸ｺﾞｼｯｸM-PRO" w:eastAsia="HG丸ｺﾞｼｯｸM-PRO"/>
          <w:b w:val="0"/>
          <w:sz w:val="26"/>
        </w:rPr>
      </w:pPr>
      <w:r>
        <w:rPr>
          <w:rFonts w:hint="eastAsia" w:ascii="HG丸ｺﾞｼｯｸM-PRO" w:hAnsi="HG丸ｺﾞｼｯｸM-PRO" w:eastAsia="HG丸ｺﾞｼｯｸM-PRO"/>
          <w:b w:val="1"/>
          <w:sz w:val="26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26"/>
        </w:rPr>
        <w:t>また、マンション、ハイツ等集合住宅については管理会社などが、責任</w:t>
      </w:r>
    </w:p>
    <w:p>
      <w:pPr>
        <w:pStyle w:val="0"/>
        <w:spacing w:line="440" w:lineRule="exact"/>
        <w:ind w:left="0" w:leftChars="0" w:firstLine="260" w:firstLineChars="100"/>
        <w:rPr>
          <w:rFonts w:hint="eastAsia" w:ascii="HG丸ｺﾞｼｯｸM-PRO" w:hAnsi="HG丸ｺﾞｼｯｸM-PRO" w:eastAsia="HG丸ｺﾞｼｯｸM-PRO"/>
          <w:b w:val="0"/>
          <w:sz w:val="26"/>
        </w:rPr>
      </w:pPr>
      <w:r>
        <w:rPr>
          <w:rFonts w:hint="eastAsia" w:ascii="HG丸ｺﾞｼｯｸM-PRO" w:hAnsi="HG丸ｺﾞｼｯｸM-PRO" w:eastAsia="HG丸ｺﾞｼｯｸM-PRO"/>
          <w:b w:val="0"/>
          <w:sz w:val="26"/>
        </w:rPr>
        <w:t>をもって定期的に清掃など維持管理を行うこと。</w:t>
      </w:r>
    </w:p>
    <w:p>
      <w:pPr>
        <w:pStyle w:val="0"/>
        <w:spacing w:line="440" w:lineRule="exact"/>
        <w:ind w:left="0" w:leftChars="0" w:firstLine="0" w:firstLineChars="0"/>
        <w:jc w:val="right"/>
        <w:rPr>
          <w:rFonts w:hint="eastAsia" w:ascii="ＭＳ 明朝" w:hAnsi="ＭＳ 明朝" w:eastAsia="ＭＳ 明朝"/>
          <w:b w:val="0"/>
          <w:sz w:val="26"/>
        </w:rPr>
      </w:pPr>
      <w:r>
        <w:rPr>
          <w:rFonts w:hint="eastAsia" w:ascii="ＭＳ 明朝" w:hAnsi="ＭＳ 明朝" w:eastAsia="ＭＳ 明朝"/>
          <w:b w:val="0"/>
          <w:sz w:val="26"/>
        </w:rPr>
        <w:t>令和　　年　　月　　日</w:t>
      </w:r>
    </w:p>
    <w:p>
      <w:pPr>
        <w:pStyle w:val="0"/>
        <w:spacing w:line="440" w:lineRule="exact"/>
        <w:ind w:left="0" w:leftChars="0" w:firstLine="0" w:firstLineChars="0"/>
        <w:jc w:val="right"/>
        <w:rPr>
          <w:rFonts w:hint="eastAsia" w:ascii="ＭＳ 明朝" w:hAnsi="ＭＳ 明朝" w:eastAsia="ＭＳ 明朝"/>
          <w:b w:val="0"/>
          <w:sz w:val="26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6"/>
        </w:rPr>
      </w:pPr>
      <w:r>
        <w:rPr>
          <w:rFonts w:hint="eastAsia" w:ascii="ＭＳ 明朝" w:hAnsi="ＭＳ 明朝" w:eastAsia="ＭＳ 明朝"/>
          <w:b w:val="0"/>
          <w:sz w:val="26"/>
        </w:rPr>
        <w:t>（宛先）相生市環境課長</w:t>
      </w:r>
    </w:p>
    <w:p>
      <w:pPr>
        <w:pStyle w:val="0"/>
        <w:wordWrap w:val="0"/>
        <w:spacing w:line="440" w:lineRule="exact"/>
        <w:ind w:left="0" w:leftChars="0" w:firstLine="3900" w:firstLineChars="1500"/>
        <w:jc w:val="left"/>
        <w:rPr>
          <w:rFonts w:hint="eastAsia" w:ascii="ＭＳ 明朝" w:hAnsi="ＭＳ 明朝" w:eastAsia="ＭＳ 明朝"/>
          <w:b w:val="0"/>
          <w:sz w:val="26"/>
        </w:rPr>
      </w:pPr>
      <w:r>
        <w:rPr>
          <w:rFonts w:hint="eastAsia" w:ascii="ＭＳ 明朝" w:hAnsi="ＭＳ 明朝" w:eastAsia="ＭＳ 明朝"/>
          <w:b w:val="0"/>
          <w:sz w:val="26"/>
        </w:rPr>
        <w:t>《設置者》</w:t>
      </w:r>
    </w:p>
    <w:p>
      <w:pPr>
        <w:pStyle w:val="0"/>
        <w:wordWrap w:val="0"/>
        <w:spacing w:line="440" w:lineRule="exact"/>
        <w:ind w:left="0" w:leftChars="0" w:rightChars="0" w:firstLine="0" w:firstLineChars="0"/>
        <w:jc w:val="right"/>
        <w:rPr>
          <w:rFonts w:hint="eastAsia" w:ascii="ＭＳ 明朝" w:hAnsi="ＭＳ 明朝" w:eastAsia="ＭＳ 明朝"/>
          <w:b w:val="0"/>
          <w:sz w:val="26"/>
        </w:rPr>
      </w:pPr>
      <w:r>
        <w:rPr>
          <w:rFonts w:hint="eastAsia" w:ascii="ＭＳ 明朝" w:hAnsi="ＭＳ 明朝" w:eastAsia="ＭＳ 明朝"/>
          <w:b w:val="0"/>
          <w:sz w:val="26"/>
          <w:u w:val="single" w:color="auto"/>
        </w:rPr>
        <w:t>　　　　　　　　　　　　　自治会</w:t>
      </w:r>
    </w:p>
    <w:p>
      <w:pPr>
        <w:pStyle w:val="0"/>
        <w:wordWrap w:val="0"/>
        <w:spacing w:line="440" w:lineRule="exact"/>
        <w:ind w:left="0" w:leftChars="0" w:firstLine="0" w:firstLineChars="0"/>
        <w:jc w:val="right"/>
        <w:rPr>
          <w:rFonts w:hint="eastAsia" w:ascii="ＭＳ 明朝" w:hAnsi="ＭＳ 明朝" w:eastAsia="ＭＳ 明朝"/>
          <w:b w:val="0"/>
          <w:sz w:val="26"/>
        </w:rPr>
      </w:pPr>
      <w:r>
        <w:rPr>
          <w:rFonts w:hint="eastAsia" w:ascii="ＭＳ 明朝" w:hAnsi="ＭＳ 明朝" w:eastAsia="ＭＳ 明朝"/>
          <w:b w:val="0"/>
          <w:sz w:val="26"/>
          <w:u w:val="single" w:color="auto"/>
        </w:rPr>
        <w:t>住　所　　　　　　　　　　　　　</w:t>
      </w:r>
    </w:p>
    <w:p>
      <w:pPr>
        <w:pStyle w:val="0"/>
        <w:wordWrap w:val="0"/>
        <w:spacing w:line="440" w:lineRule="exact"/>
        <w:ind w:left="0" w:leftChars="0" w:firstLine="0" w:firstLineChars="0"/>
        <w:jc w:val="right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b w:val="0"/>
          <w:sz w:val="26"/>
          <w:u w:val="single" w:color="auto"/>
        </w:rPr>
        <w:t>会　長　　　　　　　　　　　　　</w:t>
      </w:r>
    </w:p>
    <w:p>
      <w:pPr>
        <w:pStyle w:val="0"/>
        <w:wordWrap w:val="0"/>
        <w:spacing w:line="440" w:lineRule="exact"/>
        <w:ind w:left="0" w:leftChars="0" w:right="0" w:rightChars="0" w:firstLine="3900" w:firstLineChars="1500"/>
        <w:jc w:val="left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《マンション、ハイツ等の場合》</w:t>
      </w:r>
    </w:p>
    <w:p>
      <w:pPr>
        <w:pStyle w:val="0"/>
        <w:wordWrap w:val="0"/>
        <w:spacing w:line="440" w:lineRule="exact"/>
        <w:ind w:left="0" w:leftChars="0" w:firstLine="0" w:firstLineChars="0"/>
        <w:jc w:val="right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b w:val="0"/>
          <w:spacing w:val="43"/>
          <w:sz w:val="26"/>
          <w:u w:val="single" w:color="auto"/>
          <w:fitText w:val="1300" w:id="1"/>
        </w:rPr>
        <w:t>管理会</w:t>
      </w:r>
      <w:r>
        <w:rPr>
          <w:rFonts w:hint="eastAsia" w:ascii="ＭＳ 明朝" w:hAnsi="ＭＳ 明朝" w:eastAsia="ＭＳ 明朝"/>
          <w:b w:val="0"/>
          <w:spacing w:val="1"/>
          <w:sz w:val="26"/>
          <w:u w:val="single" w:color="auto"/>
          <w:fitText w:val="1300" w:id="1"/>
        </w:rPr>
        <w:t>社</w:t>
      </w:r>
      <w:r>
        <w:rPr>
          <w:rFonts w:hint="eastAsia" w:ascii="ＭＳ 明朝" w:hAnsi="ＭＳ 明朝" w:eastAsia="ＭＳ 明朝"/>
          <w:b w:val="0"/>
          <w:sz w:val="26"/>
          <w:u w:val="single" w:color="auto"/>
        </w:rPr>
        <w:t>　　　　　　　　　　　</w:t>
      </w:r>
    </w:p>
    <w:p>
      <w:pPr>
        <w:pStyle w:val="0"/>
        <w:wordWrap w:val="0"/>
        <w:spacing w:line="440" w:lineRule="exact"/>
        <w:ind w:left="0" w:leftChars="0" w:firstLine="0" w:firstLineChars="0"/>
        <w:jc w:val="right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b w:val="0"/>
          <w:sz w:val="26"/>
          <w:u w:val="single" w:color="auto"/>
        </w:rPr>
        <w:t>管理責任者　　　　　　　　　　　</w:t>
      </w:r>
    </w:p>
    <w:p>
      <w:pPr>
        <w:pStyle w:val="0"/>
        <w:wordWrap w:val="0"/>
        <w:spacing w:line="44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singl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ごみステーションの新設（移設）について</w:t>
      </w:r>
    </w:p>
    <w:p>
      <w:pPr>
        <w:pStyle w:val="0"/>
        <w:wordWrap w:val="0"/>
        <w:spacing w:line="44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single" w:color="auto"/>
        </w:rPr>
      </w:pPr>
    </w:p>
    <w:p>
      <w:pPr>
        <w:pStyle w:val="0"/>
        <w:wordWrap w:val="0"/>
        <w:spacing w:line="540" w:lineRule="exact"/>
        <w:ind w:left="0" w:leftChars="0" w:firstLine="260" w:firstLineChars="100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みだしのことについて、ごみステーションは設置者等地区のものであり、清掃等その維持管理について、責任をもって行う必要があることを充分に理解した上で、下記のとおりごみ収集場所の新設（移設）について、よろしくお願いいたします。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記</w:t>
      </w:r>
    </w:p>
    <w:p>
      <w:pPr>
        <w:pStyle w:val="0"/>
        <w:wordWrap w:val="0"/>
        <w:spacing w:line="44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single" w:color="auto"/>
        </w:rPr>
      </w:pPr>
    </w:p>
    <w:p>
      <w:pPr>
        <w:pStyle w:val="0"/>
        <w:wordWrap w:val="0"/>
        <w:spacing w:line="60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１　</w:t>
      </w:r>
      <w:r>
        <w:rPr>
          <w:rFonts w:hint="eastAsia" w:ascii="ＭＳ 明朝" w:hAnsi="ＭＳ 明朝" w:eastAsia="ＭＳ 明朝"/>
          <w:b w:val="0"/>
          <w:spacing w:val="130"/>
          <w:sz w:val="26"/>
          <w:u w:val="none" w:color="auto"/>
          <w:fitText w:val="1820" w:id="2"/>
        </w:rPr>
        <w:t>収集場</w:t>
      </w:r>
      <w:r>
        <w:rPr>
          <w:rFonts w:hint="eastAsia" w:ascii="ＭＳ 明朝" w:hAnsi="ＭＳ 明朝" w:eastAsia="ＭＳ 明朝"/>
          <w:b w:val="0"/>
          <w:sz w:val="26"/>
          <w:u w:val="none" w:color="auto"/>
          <w:fitText w:val="1820" w:id="2"/>
        </w:rPr>
        <w:t>所</w:t>
      </w:r>
      <w:r>
        <w:rPr>
          <w:rFonts w:hint="eastAsia" w:ascii="ＭＳ 明朝" w:hAnsi="ＭＳ 明朝" w:eastAsia="ＭＳ 明朝"/>
          <w:b w:val="0"/>
          <w:sz w:val="26"/>
          <w:u w:val="none" w:color="auto"/>
        </w:rPr>
        <w:t>　　別紙見取図のとおり</w:t>
      </w:r>
    </w:p>
    <w:p>
      <w:pPr>
        <w:pStyle w:val="0"/>
        <w:wordWrap w:val="0"/>
        <w:spacing w:line="60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２　新設（移設）日　　令和　　年　　月　　日（　　）</w:t>
      </w:r>
    </w:p>
    <w:p>
      <w:pPr>
        <w:pStyle w:val="0"/>
        <w:wordWrap w:val="0"/>
        <w:spacing w:line="60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３　</w:t>
      </w:r>
      <w:r>
        <w:rPr>
          <w:rFonts w:hint="eastAsia" w:ascii="ＭＳ 明朝" w:hAnsi="ＭＳ 明朝" w:eastAsia="ＭＳ 明朝"/>
          <w:b w:val="0"/>
          <w:spacing w:val="65"/>
          <w:sz w:val="26"/>
          <w:u w:val="none" w:color="auto"/>
          <w:fitText w:val="1820" w:id="3"/>
        </w:rPr>
        <w:t>収集開始</w:t>
      </w:r>
      <w:r>
        <w:rPr>
          <w:rFonts w:hint="eastAsia" w:ascii="ＭＳ 明朝" w:hAnsi="ＭＳ 明朝" w:eastAsia="ＭＳ 明朝"/>
          <w:b w:val="0"/>
          <w:sz w:val="26"/>
          <w:u w:val="none" w:color="auto"/>
          <w:fitText w:val="1820" w:id="3"/>
        </w:rPr>
        <w:t>日</w:t>
      </w:r>
      <w:r>
        <w:rPr>
          <w:rFonts w:hint="eastAsia" w:ascii="ＭＳ 明朝" w:hAnsi="ＭＳ 明朝" w:eastAsia="ＭＳ 明朝"/>
          <w:b w:val="0"/>
          <w:sz w:val="26"/>
          <w:u w:val="none" w:color="auto"/>
        </w:rPr>
        <w:t>　　令和　　年　　月　　日（　　）</w:t>
      </w:r>
    </w:p>
    <w:p>
      <w:pPr>
        <w:pStyle w:val="0"/>
        <w:wordWrap w:val="0"/>
        <w:spacing w:line="60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承認後について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　　・相生市のごみ出しルールを守ること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　　・ごみステーションにおけるトラブルについては、設置者等地区にお</w:t>
      </w:r>
    </w:p>
    <w:p>
      <w:pPr>
        <w:pStyle w:val="0"/>
        <w:wordWrap w:val="0"/>
        <w:spacing w:line="440" w:lineRule="exact"/>
        <w:ind w:left="0" w:leftChars="0" w:firstLine="780" w:firstLineChars="30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いて解決すること</w:t>
      </w:r>
    </w:p>
    <w:p>
      <w:pPr>
        <w:pStyle w:val="0"/>
        <w:wordWrap w:val="0"/>
        <w:spacing w:line="440" w:lineRule="exact"/>
        <w:ind w:left="0" w:leftChars="0" w:firstLine="520" w:firstLineChars="20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・相生市のごみ出しルールに則らずに排出され、収集されずに残って</w:t>
      </w:r>
    </w:p>
    <w:p>
      <w:pPr>
        <w:pStyle w:val="0"/>
        <w:wordWrap w:val="0"/>
        <w:spacing w:line="440" w:lineRule="exact"/>
        <w:ind w:left="0" w:leftChars="0" w:firstLine="780" w:firstLineChars="30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いるごみは、原則設置者等地区において処分すること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　　・適宜、清掃に努めること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　　・マンション、アパートの場合は別紙同意書を提出すること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　　・上記について守られない場合、収集を中止する場合がある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《マンション、ハイツ用》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ごみステーション管理同意書</w:t>
      </w:r>
    </w:p>
    <w:p>
      <w:pPr>
        <w:pStyle w:val="0"/>
        <w:wordWrap w:val="0"/>
        <w:spacing w:line="44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right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年　　月　　日</w:t>
      </w:r>
    </w:p>
    <w:p>
      <w:pPr>
        <w:pStyle w:val="0"/>
        <w:wordWrap w:val="0"/>
        <w:spacing w:line="440" w:lineRule="exact"/>
        <w:ind w:left="0" w:leftChars="0" w:firstLine="0" w:firstLineChars="0"/>
        <w:jc w:val="right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相生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6"/>
          <w:u w:val="none" w:color="auto"/>
        </w:rPr>
        <w:t>市長　様</w:t>
      </w:r>
    </w:p>
    <w:p>
      <w:pPr>
        <w:pStyle w:val="0"/>
        <w:wordWrap w:val="0"/>
        <w:spacing w:line="44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　ごみステーションを設置するにあたり、相生市のごみの出し方を遵守し、ごみステーションにおける分別が出来ていないなど、相生市から連絡があった場合は、速やかに片付けるとともに、指導・管理することに同意します。</w:t>
      </w:r>
    </w:p>
    <w:p>
      <w:pPr>
        <w:pStyle w:val="0"/>
        <w:wordWrap w:val="0"/>
        <w:spacing w:line="44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　また、上記のことが極めて困難な場合、または維持管理上問題があるときは、ごみの収集を中止されても異議を申し立てません。</w:t>
      </w:r>
    </w:p>
    <w:p>
      <w:pPr>
        <w:pStyle w:val="0"/>
        <w:wordWrap w:val="0"/>
        <w:spacing w:line="44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記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１　マンション、ハイツ名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２　</w:t>
      </w:r>
      <w:r>
        <w:rPr>
          <w:rFonts w:hint="eastAsia" w:ascii="ＭＳ 明朝" w:hAnsi="ＭＳ 明朝" w:eastAsia="ＭＳ 明朝"/>
          <w:b w:val="0"/>
          <w:spacing w:val="260"/>
          <w:sz w:val="26"/>
          <w:u w:val="none" w:color="auto"/>
          <w:fitText w:val="2600" w:id="4"/>
        </w:rPr>
        <w:t>設置場</w:t>
      </w:r>
      <w:r>
        <w:rPr>
          <w:rFonts w:hint="eastAsia" w:ascii="ＭＳ 明朝" w:hAnsi="ＭＳ 明朝" w:eastAsia="ＭＳ 明朝"/>
          <w:b w:val="0"/>
          <w:sz w:val="26"/>
          <w:u w:val="none" w:color="auto"/>
          <w:fitText w:val="2600" w:id="4"/>
        </w:rPr>
        <w:t>所</w:t>
      </w:r>
      <w:r>
        <w:rPr>
          <w:rFonts w:hint="eastAsia" w:ascii="ＭＳ 明朝" w:hAnsi="ＭＳ 明朝" w:eastAsia="ＭＳ 明朝"/>
          <w:sz w:val="26"/>
        </w:rPr>
        <w:t>　　相生市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60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sz w:val="26"/>
        </w:rPr>
        <w:t>　　　　　（管理会社・管理責任者等）</w:t>
      </w:r>
    </w:p>
    <w:p>
      <w:pPr>
        <w:pStyle w:val="0"/>
        <w:wordWrap w:val="0"/>
        <w:spacing w:line="60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spacing w:val="390"/>
          <w:sz w:val="26"/>
          <w:u w:val="none" w:color="auto"/>
          <w:fitText w:val="1300" w:id="5"/>
        </w:rPr>
        <w:t>住</w:t>
      </w:r>
      <w:r>
        <w:rPr>
          <w:rFonts w:hint="eastAsia" w:ascii="ＭＳ 明朝" w:hAnsi="ＭＳ 明朝" w:eastAsia="ＭＳ 明朝"/>
          <w:sz w:val="26"/>
          <w:u w:val="none" w:color="auto"/>
          <w:fitText w:val="1300" w:id="5"/>
        </w:rPr>
        <w:t>所</w:t>
      </w:r>
    </w:p>
    <w:p>
      <w:pPr>
        <w:pStyle w:val="0"/>
        <w:wordWrap w:val="0"/>
        <w:spacing w:line="60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sz w:val="26"/>
          <w:u w:val="none" w:color="auto"/>
        </w:rPr>
        <w:t>管理会社名</w:t>
      </w:r>
    </w:p>
    <w:p>
      <w:pPr>
        <w:pStyle w:val="0"/>
        <w:wordWrap w:val="0"/>
        <w:spacing w:line="60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spacing w:val="390"/>
          <w:sz w:val="26"/>
          <w:u w:val="none" w:color="auto"/>
          <w:fitText w:val="1300" w:id="6"/>
        </w:rPr>
        <w:t>管</w:t>
      </w:r>
      <w:r>
        <w:rPr>
          <w:rFonts w:hint="eastAsia" w:ascii="ＭＳ 明朝" w:hAnsi="ＭＳ 明朝" w:eastAsia="ＭＳ 明朝"/>
          <w:spacing w:val="130"/>
          <w:sz w:val="26"/>
          <w:u w:val="none" w:color="auto"/>
          <w:fitText w:val="1300" w:id="6"/>
        </w:rPr>
        <w:t>理</w:t>
      </w:r>
      <w:r>
        <w:rPr>
          <w:rFonts w:hint="eastAsia" w:ascii="ＭＳ 明朝" w:hAnsi="ＭＳ 明朝" w:eastAsia="ＭＳ 明朝"/>
          <w:sz w:val="26"/>
          <w:u w:val="none" w:color="auto"/>
          <w:fitText w:val="1300" w:id="6"/>
        </w:rPr>
        <w:t>責任者</w:t>
      </w:r>
    </w:p>
    <w:p>
      <w:pPr>
        <w:pStyle w:val="0"/>
        <w:wordWrap w:val="0"/>
        <w:spacing w:line="600" w:lineRule="exact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26"/>
          <w:u w:val="single" w:color="auto"/>
        </w:rPr>
      </w:pPr>
      <w:r>
        <w:rPr>
          <w:rFonts w:hint="eastAsia" w:ascii="ＭＳ 明朝" w:hAnsi="ＭＳ 明朝" w:eastAsia="ＭＳ 明朝"/>
          <w:spacing w:val="390"/>
          <w:sz w:val="26"/>
          <w:u w:val="none" w:color="auto"/>
          <w:fitText w:val="1300" w:id="7"/>
        </w:rPr>
        <w:t>電</w:t>
      </w:r>
      <w:r>
        <w:rPr>
          <w:rFonts w:hint="eastAsia" w:ascii="ＭＳ 明朝" w:hAnsi="ＭＳ 明朝" w:eastAsia="ＭＳ 明朝"/>
          <w:sz w:val="26"/>
          <w:u w:val="none" w:color="auto"/>
          <w:fitText w:val="1300" w:id="7"/>
        </w:rPr>
        <w:t>話</w:t>
      </w:r>
    </w:p>
    <w:p>
      <w:pPr>
        <w:pStyle w:val="0"/>
        <w:wordWrap w:val="0"/>
        <w:spacing w:line="60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《標題》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ごみステーションの新設（移設）について</w:t>
      </w:r>
    </w:p>
    <w:p>
      <w:pPr>
        <w:pStyle w:val="0"/>
        <w:wordWrap w:val="0"/>
        <w:spacing w:line="440" w:lineRule="exact"/>
        <w:ind w:left="0" w:leftChars="0" w:firstLine="0" w:firstLineChars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wordWrap w:val="0"/>
        <w:spacing w:line="440" w:lineRule="exact"/>
        <w:ind w:left="0" w:leftChars="0" w:firstLine="260" w:firstLineChars="10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ごみステーションの新設（移設）については、収集の効率性や事故防止などの観点から、詳細なルールを設けており、それらをすべて満たさない限り、設置（移設）することはできません。</w:t>
      </w:r>
    </w:p>
    <w:p>
      <w:pPr>
        <w:pStyle w:val="0"/>
        <w:wordWrap w:val="0"/>
        <w:spacing w:line="440" w:lineRule="exact"/>
        <w:ind w:left="0" w:leftChars="0" w:firstLine="260" w:firstLineChars="100"/>
        <w:rPr>
          <w:rFonts w:hint="eastAsia" w:ascii="ＭＳ 明朝" w:hAnsi="ＭＳ 明朝" w:eastAsia="ＭＳ 明朝"/>
          <w:b w:val="0"/>
          <w:sz w:val="26"/>
          <w:u w:val="none" w:color="auto"/>
        </w:rPr>
      </w:pPr>
      <w:r>
        <w:rPr>
          <w:rFonts w:hint="eastAsia" w:ascii="ＭＳ 明朝" w:hAnsi="ＭＳ 明朝" w:eastAsia="ＭＳ 明朝"/>
          <w:b w:val="0"/>
          <w:sz w:val="26"/>
          <w:u w:val="none" w:color="auto"/>
        </w:rPr>
        <w:t>ごみステーション設置をお考えの際は、必ず事前に別紙の「ごみステーションの新設（移設）条件について」をご確認いただき、市環境課へご相談下さい。</w:t>
      </w:r>
    </w:p>
    <w:p>
      <w:pPr>
        <w:pStyle w:val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6"/>
          <w:u w:val="none" w:color="auto"/>
        </w:rPr>
      </w:pP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</TotalTime>
  <Pages>4</Pages>
  <Words>0</Words>
  <Characters>1451</Characters>
  <Application>JUST Note</Application>
  <Lines>119</Lines>
  <Paragraphs>69</Paragraphs>
  <CharactersWithSpaces>1577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大角 潤矢</dc:creator>
  <cp:lastModifiedBy>大角 潤矢</cp:lastModifiedBy>
  <cp:lastPrinted>2024-05-27T07:14:27Z</cp:lastPrinted>
  <dcterms:created xsi:type="dcterms:W3CDTF">2020-06-19T07:37:00Z</dcterms:created>
  <dcterms:modified xsi:type="dcterms:W3CDTF">2024-05-27T01:03:40Z</dcterms:modified>
  <cp:revision>0</cp:revision>
</cp:coreProperties>
</file>