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rPr>
                <w:rFonts w:hint="default"/>
              </w:rPr>
            </w:pPr>
            <w:r>
              <w:rPr>
                <w:rFonts w:hint="eastAsia"/>
              </w:rPr>
              <w:t>記</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　　　　　　　　　　　　　　　</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　　　</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（注２）</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kinsoku w:val="0"/>
        <w:autoSpaceDE w:val="0"/>
        <w:autoSpaceDN w:val="0"/>
        <w:spacing w:line="366" w:lineRule="atLeast"/>
        <w:ind w:left="0" w:leftChars="0" w:hanging="456" w:hangingChars="217"/>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　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ind w:right="210" w:rightChars="100"/>
        <w:jc w:val="right"/>
        <w:rPr>
          <w:rFonts w:hint="default"/>
        </w:rPr>
      </w:pPr>
      <w:bookmarkStart w:id="0" w:name="_GoBack"/>
      <w:bookmarkEnd w:id="0"/>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581</TotalTime>
  <Pages>1</Pages>
  <Words>2</Words>
  <Characters>839</Characters>
  <Application>JUST Note</Application>
  <Lines>58</Lines>
  <Paragraphs>34</Paragraphs>
  <CharactersWithSpaces>1211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2021-08-05T09:30:55Z</dcterms:modified>
  <cp:revision>5</cp:revision>
</cp:coreProperties>
</file>